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DE0" w:rsidRPr="00E20DE0" w:rsidRDefault="00E20DE0" w:rsidP="00BB6FE2">
      <w:pPr>
        <w:spacing w:after="0" w:line="240" w:lineRule="auto"/>
        <w:jc w:val="center"/>
        <w:rPr>
          <w:rFonts w:ascii="Century Gothic" w:eastAsia="Times New Roman" w:hAnsi="Century Gothic"/>
          <w:lang w:eastAsia="it-IT"/>
        </w:rPr>
      </w:pPr>
      <w:r w:rsidRPr="00BB6FE2">
        <w:rPr>
          <w:rFonts w:ascii="Century Gothic" w:eastAsia="Times New Roman" w:hAnsi="Century Gothic"/>
          <w:bCs/>
          <w:lang w:eastAsia="it-IT"/>
        </w:rPr>
        <w:t>COMUNICATO STAMPA</w:t>
      </w:r>
    </w:p>
    <w:p w:rsidR="00E20DE0" w:rsidRPr="00E20DE0" w:rsidRDefault="00E20DE0" w:rsidP="00E20DE0">
      <w:pPr>
        <w:spacing w:after="0" w:line="240" w:lineRule="auto"/>
        <w:jc w:val="both"/>
        <w:rPr>
          <w:rFonts w:ascii="Century Gothic" w:eastAsia="Times New Roman" w:hAnsi="Century Gothic"/>
          <w:sz w:val="26"/>
          <w:szCs w:val="26"/>
          <w:lang w:eastAsia="it-IT"/>
        </w:rPr>
      </w:pPr>
    </w:p>
    <w:p w:rsidR="00E20DE0" w:rsidRPr="00E20DE0" w:rsidRDefault="00C178AC" w:rsidP="00BB6FE2">
      <w:pPr>
        <w:spacing w:after="0" w:line="240" w:lineRule="auto"/>
        <w:jc w:val="center"/>
        <w:rPr>
          <w:rFonts w:ascii="Century Gothic" w:eastAsia="Times New Roman" w:hAnsi="Century Gothic"/>
          <w:b/>
          <w:sz w:val="26"/>
          <w:szCs w:val="26"/>
          <w:lang w:eastAsia="it-IT"/>
        </w:rPr>
      </w:pPr>
      <w:r>
        <w:rPr>
          <w:rFonts w:ascii="Century Gothic" w:eastAsia="Times New Roman" w:hAnsi="Century Gothic"/>
          <w:b/>
          <w:bCs/>
          <w:sz w:val="26"/>
          <w:szCs w:val="26"/>
          <w:lang w:eastAsia="it-IT"/>
        </w:rPr>
        <w:t>O</w:t>
      </w:r>
      <w:r w:rsidR="00BB6FE2" w:rsidRPr="00BB6FE2">
        <w:rPr>
          <w:rFonts w:ascii="Century Gothic" w:eastAsia="Times New Roman" w:hAnsi="Century Gothic"/>
          <w:b/>
          <w:bCs/>
          <w:sz w:val="26"/>
          <w:szCs w:val="26"/>
          <w:lang w:eastAsia="it-IT"/>
        </w:rPr>
        <w:t>ltre 10 milioni di euro per il rilancio delle imprese abruzzesi</w:t>
      </w:r>
    </w:p>
    <w:p w:rsidR="00E20DE0" w:rsidRPr="00E20DE0" w:rsidRDefault="00E20DE0" w:rsidP="00E20DE0">
      <w:pPr>
        <w:spacing w:after="0" w:line="240" w:lineRule="auto"/>
        <w:jc w:val="both"/>
        <w:rPr>
          <w:rFonts w:ascii="Century Gothic" w:eastAsia="Times New Roman" w:hAnsi="Century Gothic"/>
          <w:lang w:eastAsia="it-IT"/>
        </w:rPr>
      </w:pPr>
    </w:p>
    <w:p w:rsidR="00E20DE0" w:rsidRPr="00E20DE0" w:rsidRDefault="00E20DE0" w:rsidP="00BB6FE2">
      <w:pPr>
        <w:spacing w:after="0" w:line="240" w:lineRule="auto"/>
        <w:jc w:val="both"/>
        <w:rPr>
          <w:rFonts w:ascii="Century Gothic" w:eastAsia="Times New Roman" w:hAnsi="Century Gothic"/>
          <w:lang w:eastAsia="it-IT"/>
        </w:rPr>
      </w:pPr>
      <w:r w:rsidRPr="00BB6FE2">
        <w:rPr>
          <w:rFonts w:ascii="Century Gothic" w:eastAsia="Times New Roman" w:hAnsi="Century Gothic"/>
          <w:i/>
          <w:iCs/>
          <w:lang w:eastAsia="it-IT"/>
        </w:rPr>
        <w:t>Domani, 3 settembre, a Fossacesia l'incontro pubblico per presentare il maxi-piano regionale e i nuovi bandi camerali a su</w:t>
      </w:r>
      <w:r w:rsidR="00C178AC">
        <w:rPr>
          <w:rFonts w:ascii="Century Gothic" w:eastAsia="Times New Roman" w:hAnsi="Century Gothic"/>
          <w:i/>
          <w:iCs/>
          <w:lang w:eastAsia="it-IT"/>
        </w:rPr>
        <w:t>pporto di MPMI e professionisti sui temi della digitalizzazione, turismo ed internazionalizzazione</w:t>
      </w:r>
    </w:p>
    <w:p w:rsidR="00E20DE0" w:rsidRPr="00E20DE0" w:rsidRDefault="00E20DE0" w:rsidP="00BB6FE2">
      <w:pPr>
        <w:spacing w:after="0" w:line="360" w:lineRule="auto"/>
        <w:jc w:val="both"/>
        <w:rPr>
          <w:rFonts w:ascii="Century Gothic" w:eastAsia="Times New Roman" w:hAnsi="Century Gothic"/>
          <w:lang w:eastAsia="it-IT"/>
        </w:rPr>
      </w:pPr>
    </w:p>
    <w:p w:rsidR="00E20DE0" w:rsidRDefault="00E20DE0" w:rsidP="00BB6FE2">
      <w:pPr>
        <w:spacing w:after="0" w:line="240" w:lineRule="auto"/>
        <w:jc w:val="both"/>
        <w:rPr>
          <w:rFonts w:ascii="Century Gothic" w:eastAsia="Times New Roman" w:hAnsi="Century Gothic"/>
          <w:lang w:eastAsia="it-IT"/>
        </w:rPr>
      </w:pPr>
      <w:r w:rsidRPr="00BB6FE2">
        <w:rPr>
          <w:rFonts w:ascii="Century Gothic" w:eastAsia="Times New Roman" w:hAnsi="Century Gothic"/>
          <w:b/>
          <w:bCs/>
          <w:lang w:eastAsia="it-IT"/>
        </w:rPr>
        <w:t>Chieti-Pescara, 2 settembre 2026</w:t>
      </w:r>
      <w:r w:rsidRPr="00BB6FE2">
        <w:rPr>
          <w:rFonts w:ascii="Century Gothic" w:eastAsia="Times New Roman" w:hAnsi="Century Gothic"/>
          <w:lang w:eastAsia="it-IT"/>
        </w:rPr>
        <w:t> – Un pacchetto complessivo che unisce i 10 milioni di euro stanziati dalla Regione Abruzzo alle risorse territoriali messe in campo dalla Camera di Commercio Chieti Pescara, con un unico grande obiettivo: accelerare la trasformazione digitale, sostenere il turismo e favorire l'aper</w:t>
      </w:r>
      <w:r w:rsidR="00BB6FE2">
        <w:rPr>
          <w:rFonts w:ascii="Century Gothic" w:eastAsia="Times New Roman" w:hAnsi="Century Gothic"/>
          <w:lang w:eastAsia="it-IT"/>
        </w:rPr>
        <w:t xml:space="preserve">tura ai mercati esteri </w:t>
      </w:r>
      <w:proofErr w:type="gramStart"/>
      <w:r w:rsidR="00BB6FE2">
        <w:rPr>
          <w:rFonts w:ascii="Century Gothic" w:eastAsia="Times New Roman" w:hAnsi="Century Gothic"/>
          <w:lang w:eastAsia="it-IT"/>
        </w:rPr>
        <w:t xml:space="preserve">delle </w:t>
      </w:r>
      <w:r w:rsidRPr="00BB6FE2">
        <w:rPr>
          <w:rFonts w:ascii="Century Gothic" w:eastAsia="Times New Roman" w:hAnsi="Century Gothic"/>
          <w:lang w:eastAsia="it-IT"/>
        </w:rPr>
        <w:t>micro</w:t>
      </w:r>
      <w:proofErr w:type="gramEnd"/>
      <w:r w:rsidRPr="00BB6FE2">
        <w:rPr>
          <w:rFonts w:ascii="Century Gothic" w:eastAsia="Times New Roman" w:hAnsi="Century Gothic"/>
          <w:lang w:eastAsia="it-IT"/>
        </w:rPr>
        <w:t>, piccole e medie imprese (MPMI) e dei professionisti locali.</w:t>
      </w:r>
    </w:p>
    <w:p w:rsidR="00BB6FE2" w:rsidRPr="00E20DE0" w:rsidRDefault="00BB6FE2" w:rsidP="00BB6FE2">
      <w:pPr>
        <w:spacing w:after="0" w:line="240" w:lineRule="auto"/>
        <w:jc w:val="both"/>
        <w:rPr>
          <w:rFonts w:ascii="Century Gothic" w:eastAsia="Times New Roman" w:hAnsi="Century Gothic"/>
          <w:lang w:eastAsia="it-IT"/>
        </w:rPr>
      </w:pPr>
    </w:p>
    <w:p w:rsidR="00E20DE0" w:rsidRDefault="00E20DE0" w:rsidP="00BB6FE2">
      <w:pPr>
        <w:spacing w:after="0" w:line="240" w:lineRule="auto"/>
        <w:jc w:val="both"/>
        <w:rPr>
          <w:rFonts w:ascii="Century Gothic" w:eastAsia="Times New Roman" w:hAnsi="Century Gothic"/>
          <w:lang w:eastAsia="it-IT"/>
        </w:rPr>
      </w:pPr>
      <w:r w:rsidRPr="00BB6FE2">
        <w:rPr>
          <w:rFonts w:ascii="Century Gothic" w:eastAsia="Times New Roman" w:hAnsi="Century Gothic"/>
          <w:lang w:eastAsia="it-IT"/>
        </w:rPr>
        <w:t>Tutte le novità e le modalità di accesso alle agevolazioni saranno presentate ufficialmente domani, </w:t>
      </w:r>
      <w:r w:rsidRPr="00BB6FE2">
        <w:rPr>
          <w:rFonts w:ascii="Century Gothic" w:eastAsia="Times New Roman" w:hAnsi="Century Gothic"/>
          <w:bCs/>
          <w:lang w:eastAsia="it-IT"/>
        </w:rPr>
        <w:t>3 settembre 2026, alle ore 18:00</w:t>
      </w:r>
      <w:r w:rsidRPr="00BB6FE2">
        <w:rPr>
          <w:rFonts w:ascii="Century Gothic" w:eastAsia="Times New Roman" w:hAnsi="Century Gothic"/>
          <w:lang w:eastAsia="it-IT"/>
        </w:rPr>
        <w:t>, durante un incontro pubblico organizzato presso il Parco dei Priori a San Giovanni in Venere, nel Comune di Fossacesia. L'evento porta l</w:t>
      </w:r>
      <w:r w:rsidR="00BB6FE2">
        <w:rPr>
          <w:rFonts w:ascii="Century Gothic" w:eastAsia="Times New Roman" w:hAnsi="Century Gothic"/>
          <w:lang w:eastAsia="it-IT"/>
        </w:rPr>
        <w:t>a firma</w:t>
      </w:r>
      <w:r w:rsidRPr="00BB6FE2">
        <w:rPr>
          <w:rFonts w:ascii="Century Gothic" w:eastAsia="Times New Roman" w:hAnsi="Century Gothic"/>
          <w:lang w:eastAsia="it-IT"/>
        </w:rPr>
        <w:t xml:space="preserve"> del PID (Punto Impresa Digitale) della Camera di Commercio</w:t>
      </w:r>
      <w:r w:rsidR="00BB6FE2" w:rsidRPr="00BB6FE2">
        <w:rPr>
          <w:rFonts w:ascii="Century Gothic" w:eastAsia="Times New Roman" w:hAnsi="Century Gothic"/>
          <w:lang w:eastAsia="it-IT"/>
        </w:rPr>
        <w:t xml:space="preserve"> Chieti Pescara</w:t>
      </w:r>
      <w:r w:rsidRPr="00BB6FE2">
        <w:rPr>
          <w:rFonts w:ascii="Century Gothic" w:eastAsia="Times New Roman" w:hAnsi="Century Gothic"/>
          <w:lang w:eastAsia="it-IT"/>
        </w:rPr>
        <w:t>, la struttura nata per diffondere la cultura digitale e</w:t>
      </w:r>
      <w:r w:rsidR="00BB6FE2" w:rsidRPr="00BB6FE2">
        <w:rPr>
          <w:rFonts w:ascii="Century Gothic" w:eastAsia="Times New Roman" w:hAnsi="Century Gothic"/>
          <w:lang w:eastAsia="it-IT"/>
        </w:rPr>
        <w:t>d</w:t>
      </w:r>
      <w:r w:rsidRPr="00BB6FE2">
        <w:rPr>
          <w:rFonts w:ascii="Century Gothic" w:eastAsia="Times New Roman" w:hAnsi="Century Gothic"/>
          <w:lang w:eastAsia="it-IT"/>
        </w:rPr>
        <w:t xml:space="preserve"> assistere le aziende nei percorsi di innovazione e transizione energetica.</w:t>
      </w:r>
    </w:p>
    <w:p w:rsidR="00BB6FE2" w:rsidRPr="00E20DE0" w:rsidRDefault="00BB6FE2" w:rsidP="00BB6FE2">
      <w:pPr>
        <w:spacing w:after="0" w:line="240" w:lineRule="auto"/>
        <w:jc w:val="both"/>
        <w:rPr>
          <w:rFonts w:ascii="Century Gothic" w:eastAsia="Times New Roman" w:hAnsi="Century Gothic"/>
          <w:lang w:eastAsia="it-IT"/>
        </w:rPr>
      </w:pPr>
    </w:p>
    <w:p w:rsidR="00E20DE0" w:rsidRPr="00E20DE0" w:rsidRDefault="00E20DE0" w:rsidP="00BB6FE2">
      <w:pPr>
        <w:spacing w:after="0" w:line="240" w:lineRule="auto"/>
        <w:jc w:val="both"/>
        <w:rPr>
          <w:rFonts w:ascii="Century Gothic" w:eastAsia="Times New Roman" w:hAnsi="Century Gothic"/>
          <w:lang w:eastAsia="it-IT"/>
        </w:rPr>
      </w:pPr>
      <w:r w:rsidRPr="00BB6FE2">
        <w:rPr>
          <w:rFonts w:ascii="Century Gothic" w:eastAsia="Times New Roman" w:hAnsi="Century Gothic"/>
          <w:lang w:eastAsia="it-IT"/>
        </w:rPr>
        <w:t>Il pilastro principale</w:t>
      </w:r>
      <w:r w:rsidR="00BB6FE2" w:rsidRPr="00BB6FE2">
        <w:rPr>
          <w:rFonts w:ascii="Century Gothic" w:eastAsia="Times New Roman" w:hAnsi="Century Gothic"/>
          <w:lang w:eastAsia="it-IT"/>
        </w:rPr>
        <w:t xml:space="preserve"> del piano di investimenti è l'a</w:t>
      </w:r>
      <w:r w:rsidRPr="00BB6FE2">
        <w:rPr>
          <w:rFonts w:ascii="Century Gothic" w:eastAsia="Times New Roman" w:hAnsi="Century Gothic"/>
          <w:lang w:eastAsia="it-IT"/>
        </w:rPr>
        <w:t xml:space="preserve">vviso </w:t>
      </w:r>
      <w:r w:rsidR="00BB6FE2" w:rsidRPr="00BB6FE2">
        <w:rPr>
          <w:rFonts w:ascii="Century Gothic" w:eastAsia="Times New Roman" w:hAnsi="Century Gothic"/>
          <w:lang w:eastAsia="it-IT"/>
        </w:rPr>
        <w:t>p</w:t>
      </w:r>
      <w:r w:rsidRPr="00BB6FE2">
        <w:rPr>
          <w:rFonts w:ascii="Century Gothic" w:eastAsia="Times New Roman" w:hAnsi="Century Gothic"/>
          <w:lang w:eastAsia="it-IT"/>
        </w:rPr>
        <w:t>ubblico della Regione Abruzzo, a valere sul Programma Regionale FESR 2021-2027. Con una dotazione di </w:t>
      </w:r>
      <w:r w:rsidRPr="00BB6FE2">
        <w:rPr>
          <w:rFonts w:ascii="Century Gothic" w:eastAsia="Times New Roman" w:hAnsi="Century Gothic"/>
          <w:bCs/>
          <w:lang w:eastAsia="it-IT"/>
        </w:rPr>
        <w:t>10 milioni di euro</w:t>
      </w:r>
      <w:r w:rsidRPr="00BB6FE2">
        <w:rPr>
          <w:rFonts w:ascii="Century Gothic" w:eastAsia="Times New Roman" w:hAnsi="Century Gothic"/>
          <w:lang w:eastAsia="it-IT"/>
        </w:rPr>
        <w:t xml:space="preserve">, la misura finanzia l'adozione di soluzioni digitali e sistemi di pagamento innovativi (tra cui e-commerce, CRM, ERP, soluzioni </w:t>
      </w:r>
      <w:proofErr w:type="spellStart"/>
      <w:r w:rsidRPr="00BB6FE2">
        <w:rPr>
          <w:rFonts w:ascii="Century Gothic" w:eastAsia="Times New Roman" w:hAnsi="Century Gothic"/>
          <w:lang w:eastAsia="it-IT"/>
        </w:rPr>
        <w:t>cloud</w:t>
      </w:r>
      <w:proofErr w:type="spellEnd"/>
      <w:r w:rsidRPr="00BB6FE2">
        <w:rPr>
          <w:rFonts w:ascii="Century Gothic" w:eastAsia="Times New Roman" w:hAnsi="Century Gothic"/>
          <w:lang w:eastAsia="it-IT"/>
        </w:rPr>
        <w:t xml:space="preserve">, intelligenza artificiale e </w:t>
      </w:r>
      <w:proofErr w:type="spellStart"/>
      <w:r w:rsidRPr="00BB6FE2">
        <w:rPr>
          <w:rFonts w:ascii="Century Gothic" w:eastAsia="Times New Roman" w:hAnsi="Century Gothic"/>
          <w:lang w:eastAsia="it-IT"/>
        </w:rPr>
        <w:t>cybersecurity</w:t>
      </w:r>
      <w:proofErr w:type="spellEnd"/>
      <w:r w:rsidRPr="00BB6FE2">
        <w:rPr>
          <w:rFonts w:ascii="Century Gothic" w:eastAsia="Times New Roman" w:hAnsi="Century Gothic"/>
          <w:lang w:eastAsia="it-IT"/>
        </w:rPr>
        <w:t>).</w:t>
      </w:r>
    </w:p>
    <w:p w:rsidR="00E20DE0" w:rsidRDefault="00E20DE0" w:rsidP="00BB6FE2">
      <w:pPr>
        <w:spacing w:after="0" w:line="240" w:lineRule="auto"/>
        <w:jc w:val="both"/>
        <w:rPr>
          <w:rFonts w:ascii="Century Gothic" w:eastAsia="Times New Roman" w:hAnsi="Century Gothic"/>
          <w:lang w:eastAsia="it-IT"/>
        </w:rPr>
      </w:pPr>
      <w:r w:rsidRPr="00BB6FE2">
        <w:rPr>
          <w:rFonts w:ascii="Century Gothic" w:eastAsia="Times New Roman" w:hAnsi="Century Gothic"/>
          <w:lang w:eastAsia="it-IT"/>
        </w:rPr>
        <w:t>L'intensità dell'aiuto copre </w:t>
      </w:r>
      <w:r w:rsidRPr="00BB6FE2">
        <w:rPr>
          <w:rFonts w:ascii="Century Gothic" w:eastAsia="Times New Roman" w:hAnsi="Century Gothic"/>
          <w:bCs/>
          <w:lang w:eastAsia="it-IT"/>
        </w:rPr>
        <w:t>fino al 70% della spesa ammissibile</w:t>
      </w:r>
      <w:r w:rsidRPr="00BB6FE2">
        <w:rPr>
          <w:rFonts w:ascii="Century Gothic" w:eastAsia="Times New Roman" w:hAnsi="Century Gothic"/>
          <w:lang w:eastAsia="it-IT"/>
        </w:rPr>
        <w:t>, per un contributo massimo di </w:t>
      </w:r>
      <w:r w:rsidRPr="00BB6FE2">
        <w:rPr>
          <w:rFonts w:ascii="Century Gothic" w:eastAsia="Times New Roman" w:hAnsi="Century Gothic"/>
          <w:bCs/>
          <w:lang w:eastAsia="it-IT"/>
        </w:rPr>
        <w:t>100.000,00 euro</w:t>
      </w:r>
      <w:r w:rsidRPr="00BB6FE2">
        <w:rPr>
          <w:rFonts w:ascii="Century Gothic" w:eastAsia="Times New Roman" w:hAnsi="Century Gothic"/>
          <w:lang w:eastAsia="it-IT"/>
        </w:rPr>
        <w:t> a fronte di un investimento minimo di 10.000,00 euro. Le domande potranno essere inviate esclusivamente online tramite lo sportello telematico regionale </w:t>
      </w:r>
      <w:r w:rsidRPr="00BB6FE2">
        <w:rPr>
          <w:rFonts w:ascii="Century Gothic" w:eastAsia="Times New Roman" w:hAnsi="Century Gothic"/>
          <w:bCs/>
          <w:lang w:eastAsia="it-IT"/>
        </w:rPr>
        <w:t>dal 21 settembre 2026 fino al 12 ottobre 2026</w:t>
      </w:r>
      <w:r w:rsidRPr="00BB6FE2">
        <w:rPr>
          <w:rFonts w:ascii="Century Gothic" w:eastAsia="Times New Roman" w:hAnsi="Century Gothic"/>
          <w:lang w:eastAsia="it-IT"/>
        </w:rPr>
        <w:t xml:space="preserve">. Il portale calcolerà graduatorie parziali giornaliere basate su specifici criteri di </w:t>
      </w:r>
      <w:proofErr w:type="spellStart"/>
      <w:r w:rsidRPr="00BB6FE2">
        <w:rPr>
          <w:rFonts w:ascii="Century Gothic" w:eastAsia="Times New Roman" w:hAnsi="Century Gothic"/>
          <w:lang w:eastAsia="it-IT"/>
        </w:rPr>
        <w:t>premialità</w:t>
      </w:r>
      <w:proofErr w:type="spellEnd"/>
      <w:r w:rsidRPr="00BB6FE2">
        <w:rPr>
          <w:rFonts w:ascii="Century Gothic" w:eastAsia="Times New Roman" w:hAnsi="Century Gothic"/>
          <w:lang w:eastAsia="it-IT"/>
        </w:rPr>
        <w:t>, come il possesso della qualifica di Impresa Artigiana, la sede in Aree Interne o il rating ESG.</w:t>
      </w:r>
    </w:p>
    <w:p w:rsidR="00BB6FE2" w:rsidRPr="00BB6FE2" w:rsidRDefault="00BB6FE2" w:rsidP="00BB6FE2">
      <w:pPr>
        <w:spacing w:after="0" w:line="240" w:lineRule="auto"/>
        <w:jc w:val="both"/>
        <w:rPr>
          <w:rFonts w:ascii="Century Gothic" w:eastAsia="Times New Roman" w:hAnsi="Century Gothic"/>
          <w:lang w:eastAsia="it-IT"/>
        </w:rPr>
      </w:pPr>
    </w:p>
    <w:p w:rsidR="00E20DE0" w:rsidRPr="00E20DE0" w:rsidRDefault="00E20DE0" w:rsidP="00BB6FE2">
      <w:pPr>
        <w:spacing w:after="0" w:line="240" w:lineRule="auto"/>
        <w:jc w:val="both"/>
        <w:rPr>
          <w:rFonts w:ascii="Century Gothic" w:eastAsia="Times New Roman" w:hAnsi="Century Gothic"/>
          <w:lang w:eastAsia="it-IT"/>
        </w:rPr>
      </w:pPr>
      <w:r w:rsidRPr="00BB6FE2">
        <w:rPr>
          <w:rFonts w:ascii="Century Gothic" w:eastAsia="Times New Roman" w:hAnsi="Century Gothic"/>
          <w:lang w:eastAsia="it-IT"/>
        </w:rPr>
        <w:t>A</w:t>
      </w:r>
      <w:r w:rsidR="00C178AC">
        <w:rPr>
          <w:rFonts w:ascii="Century Gothic" w:eastAsia="Times New Roman" w:hAnsi="Century Gothic"/>
          <w:lang w:eastAsia="it-IT"/>
        </w:rPr>
        <w:t>d</w:t>
      </w:r>
      <w:r w:rsidRPr="00BB6FE2">
        <w:rPr>
          <w:rFonts w:ascii="Century Gothic" w:eastAsia="Times New Roman" w:hAnsi="Century Gothic"/>
          <w:lang w:eastAsia="it-IT"/>
        </w:rPr>
        <w:t xml:space="preserve"> integrazione della strategia regionale, l'Ente camerale ha attivato tre strumenti specifici per l'annualità 2026, gestiti in ordine cronologico tramite la piattaforma </w:t>
      </w:r>
      <w:proofErr w:type="spellStart"/>
      <w:r w:rsidRPr="00BB6FE2">
        <w:rPr>
          <w:rFonts w:ascii="Century Gothic" w:eastAsia="Times New Roman" w:hAnsi="Century Gothic"/>
          <w:lang w:eastAsia="it-IT"/>
        </w:rPr>
        <w:t>ReStart</w:t>
      </w:r>
      <w:proofErr w:type="spellEnd"/>
      <w:r w:rsidRPr="00BB6FE2">
        <w:rPr>
          <w:rFonts w:ascii="Century Gothic" w:eastAsia="Times New Roman" w:hAnsi="Century Gothic"/>
          <w:lang w:eastAsia="it-IT"/>
        </w:rPr>
        <w:t xml:space="preserve"> di </w:t>
      </w:r>
      <w:proofErr w:type="spellStart"/>
      <w:r w:rsidRPr="00BB6FE2">
        <w:rPr>
          <w:rFonts w:ascii="Century Gothic" w:eastAsia="Times New Roman" w:hAnsi="Century Gothic"/>
          <w:lang w:eastAsia="it-IT"/>
        </w:rPr>
        <w:t>InfoCamere</w:t>
      </w:r>
      <w:proofErr w:type="spellEnd"/>
      <w:r w:rsidRPr="00BB6FE2">
        <w:rPr>
          <w:rFonts w:ascii="Century Gothic" w:eastAsia="Times New Roman" w:hAnsi="Century Gothic"/>
          <w:lang w:eastAsia="it-IT"/>
        </w:rPr>
        <w:t>.</w:t>
      </w:r>
      <w:r w:rsidR="00BB6FE2" w:rsidRPr="00BB6FE2">
        <w:rPr>
          <w:rFonts w:ascii="Century Gothic" w:eastAsia="Times New Roman" w:hAnsi="Century Gothic"/>
          <w:lang w:eastAsia="it-IT"/>
        </w:rPr>
        <w:t xml:space="preserve"> </w:t>
      </w:r>
      <w:r w:rsidRPr="00BB6FE2">
        <w:rPr>
          <w:rFonts w:ascii="Century Gothic" w:eastAsia="Times New Roman" w:hAnsi="Century Gothic"/>
          <w:bCs/>
          <w:lang w:eastAsia="it-IT"/>
        </w:rPr>
        <w:t>Il primo bando è dedicato alla doppia transizione (€ 300.000,00)</w:t>
      </w:r>
      <w:r w:rsidRPr="00BB6FE2">
        <w:rPr>
          <w:rFonts w:ascii="Century Gothic" w:eastAsia="Times New Roman" w:hAnsi="Century Gothic"/>
          <w:lang w:eastAsia="it-IT"/>
        </w:rPr>
        <w:t xml:space="preserve"> e prevede voucher fino a 5.000,00 euro (fino al 70% dell'investimento) per l'introduzione di tecnologie digitali 4.0 (Misura A) e sistemi di monitoraggio energetico o calcolo del rating ESG (Misura B). È previsto un bonus di 250,00 euro per le imprese con </w:t>
      </w:r>
      <w:r w:rsidR="00C178AC">
        <w:rPr>
          <w:rFonts w:ascii="Century Gothic" w:eastAsia="Times New Roman" w:hAnsi="Century Gothic"/>
          <w:lang w:eastAsia="it-IT"/>
        </w:rPr>
        <w:t>rating di legalità o certificazione della parità di g</w:t>
      </w:r>
      <w:r w:rsidRPr="00BB6FE2">
        <w:rPr>
          <w:rFonts w:ascii="Century Gothic" w:eastAsia="Times New Roman" w:hAnsi="Century Gothic"/>
          <w:lang w:eastAsia="it-IT"/>
        </w:rPr>
        <w:t>enere. Apertura sportello: </w:t>
      </w:r>
      <w:r w:rsidRPr="00BB6FE2">
        <w:rPr>
          <w:rFonts w:ascii="Century Gothic" w:eastAsia="Times New Roman" w:hAnsi="Century Gothic"/>
          <w:bCs/>
          <w:lang w:eastAsia="it-IT"/>
        </w:rPr>
        <w:t>8 settembre 2026</w:t>
      </w:r>
      <w:r w:rsidRPr="00BB6FE2">
        <w:rPr>
          <w:rFonts w:ascii="Century Gothic" w:eastAsia="Times New Roman" w:hAnsi="Century Gothic"/>
          <w:lang w:eastAsia="it-IT"/>
        </w:rPr>
        <w:t xml:space="preserve">. A seguire, c’è il </w:t>
      </w:r>
      <w:r w:rsidR="00C178AC">
        <w:rPr>
          <w:rFonts w:ascii="Century Gothic" w:eastAsia="Times New Roman" w:hAnsi="Century Gothic"/>
          <w:lang w:eastAsia="it-IT"/>
        </w:rPr>
        <w:t>b</w:t>
      </w:r>
      <w:r w:rsidRPr="00BB6FE2">
        <w:rPr>
          <w:rFonts w:ascii="Century Gothic" w:eastAsia="Times New Roman" w:hAnsi="Century Gothic"/>
          <w:bCs/>
          <w:lang w:eastAsia="it-IT"/>
        </w:rPr>
        <w:t xml:space="preserve">ando Sostegno al </w:t>
      </w:r>
      <w:r w:rsidR="00C178AC">
        <w:rPr>
          <w:rFonts w:ascii="Century Gothic" w:eastAsia="Times New Roman" w:hAnsi="Century Gothic"/>
          <w:bCs/>
          <w:lang w:eastAsia="it-IT"/>
        </w:rPr>
        <w:t>t</w:t>
      </w:r>
      <w:r w:rsidRPr="00BB6FE2">
        <w:rPr>
          <w:rFonts w:ascii="Century Gothic" w:eastAsia="Times New Roman" w:hAnsi="Century Gothic"/>
          <w:bCs/>
          <w:lang w:eastAsia="it-IT"/>
        </w:rPr>
        <w:t>urismo 2026 (€ 150.000,00)</w:t>
      </w:r>
      <w:r w:rsidRPr="00BB6FE2">
        <w:rPr>
          <w:rFonts w:ascii="Century Gothic" w:eastAsia="Times New Roman" w:hAnsi="Century Gothic"/>
          <w:lang w:eastAsia="it-IT"/>
        </w:rPr>
        <w:t>. Diviso tra la </w:t>
      </w:r>
      <w:r w:rsidRPr="00BB6FE2">
        <w:rPr>
          <w:rFonts w:ascii="Century Gothic" w:eastAsia="Times New Roman" w:hAnsi="Century Gothic"/>
          <w:i/>
          <w:iCs/>
          <w:lang w:eastAsia="it-IT"/>
        </w:rPr>
        <w:t>Misura A</w:t>
      </w:r>
      <w:r w:rsidRPr="00BB6FE2">
        <w:rPr>
          <w:rFonts w:ascii="Century Gothic" w:eastAsia="Times New Roman" w:hAnsi="Century Gothic"/>
          <w:lang w:eastAsia="it-IT"/>
        </w:rPr>
        <w:t>, che prevede contributi fissi a persona per il turismo di gruppo e congressuale in bassa stagione, e la </w:t>
      </w:r>
      <w:r w:rsidRPr="00BB6FE2">
        <w:rPr>
          <w:rFonts w:ascii="Century Gothic" w:eastAsia="Times New Roman" w:hAnsi="Century Gothic"/>
          <w:i/>
          <w:iCs/>
          <w:lang w:eastAsia="it-IT"/>
        </w:rPr>
        <w:t>Misura B</w:t>
      </w:r>
      <w:r w:rsidRPr="00BB6FE2">
        <w:rPr>
          <w:rFonts w:ascii="Century Gothic" w:eastAsia="Times New Roman" w:hAnsi="Century Gothic"/>
          <w:lang w:eastAsia="it-IT"/>
        </w:rPr>
        <w:t xml:space="preserve">, che offre contributi a fondo perduto del 50% (fino a 5.000,00 euro) per investimenti in </w:t>
      </w:r>
      <w:proofErr w:type="spellStart"/>
      <w:r w:rsidRPr="00BB6FE2">
        <w:rPr>
          <w:rFonts w:ascii="Century Gothic" w:eastAsia="Times New Roman" w:hAnsi="Century Gothic"/>
          <w:lang w:eastAsia="it-IT"/>
        </w:rPr>
        <w:t>digital</w:t>
      </w:r>
      <w:proofErr w:type="spellEnd"/>
      <w:r w:rsidRPr="00BB6FE2">
        <w:rPr>
          <w:rFonts w:ascii="Century Gothic" w:eastAsia="Times New Roman" w:hAnsi="Century Gothic"/>
          <w:lang w:eastAsia="it-IT"/>
        </w:rPr>
        <w:t xml:space="preserve"> marketing, POS evoluti, attrezzature outdoor e strumenti per l'accessibilità. Apertura sportello: </w:t>
      </w:r>
      <w:r w:rsidRPr="00BB6FE2">
        <w:rPr>
          <w:rFonts w:ascii="Century Gothic" w:eastAsia="Times New Roman" w:hAnsi="Century Gothic"/>
          <w:bCs/>
          <w:lang w:eastAsia="it-IT"/>
        </w:rPr>
        <w:t>17 settembre 2026</w:t>
      </w:r>
      <w:r w:rsidRPr="00BB6FE2">
        <w:rPr>
          <w:rFonts w:ascii="Century Gothic" w:eastAsia="Times New Roman" w:hAnsi="Century Gothic"/>
          <w:lang w:eastAsia="it-IT"/>
        </w:rPr>
        <w:t>.</w:t>
      </w:r>
      <w:r w:rsidR="00BB6FE2">
        <w:rPr>
          <w:rFonts w:ascii="Century Gothic" w:eastAsia="Times New Roman" w:hAnsi="Century Gothic"/>
          <w:lang w:eastAsia="it-IT"/>
        </w:rPr>
        <w:t xml:space="preserve"> </w:t>
      </w:r>
      <w:r w:rsidRPr="00BB6FE2">
        <w:rPr>
          <w:rFonts w:ascii="Century Gothic" w:eastAsia="Times New Roman" w:hAnsi="Century Gothic"/>
          <w:bCs/>
          <w:lang w:eastAsia="it-IT"/>
        </w:rPr>
        <w:t xml:space="preserve">Infine, </w:t>
      </w:r>
      <w:r w:rsidR="00BB6FE2">
        <w:rPr>
          <w:rFonts w:ascii="Century Gothic" w:eastAsia="Times New Roman" w:hAnsi="Century Gothic"/>
          <w:bCs/>
          <w:lang w:eastAsia="it-IT"/>
        </w:rPr>
        <w:t>le MPMI</w:t>
      </w:r>
      <w:r w:rsidRPr="00BB6FE2">
        <w:rPr>
          <w:rFonts w:ascii="Century Gothic" w:eastAsia="Times New Roman" w:hAnsi="Century Gothic"/>
          <w:bCs/>
          <w:lang w:eastAsia="it-IT"/>
        </w:rPr>
        <w:t xml:space="preserve"> potranno contare su un </w:t>
      </w:r>
      <w:r w:rsidR="00C178AC">
        <w:rPr>
          <w:rFonts w:ascii="Century Gothic" w:eastAsia="Times New Roman" w:hAnsi="Century Gothic"/>
          <w:bCs/>
          <w:lang w:eastAsia="it-IT"/>
        </w:rPr>
        <w:t>b</w:t>
      </w:r>
      <w:r w:rsidRPr="00BB6FE2">
        <w:rPr>
          <w:rFonts w:ascii="Century Gothic" w:eastAsia="Times New Roman" w:hAnsi="Century Gothic"/>
          <w:bCs/>
          <w:lang w:eastAsia="it-IT"/>
        </w:rPr>
        <w:t>ando dedicat</w:t>
      </w:r>
      <w:r w:rsidR="00BB6FE2">
        <w:rPr>
          <w:rFonts w:ascii="Century Gothic" w:eastAsia="Times New Roman" w:hAnsi="Century Gothic"/>
          <w:bCs/>
          <w:lang w:eastAsia="it-IT"/>
        </w:rPr>
        <w:t>o all’</w:t>
      </w:r>
      <w:r w:rsidR="00C178AC">
        <w:rPr>
          <w:rFonts w:ascii="Century Gothic" w:eastAsia="Times New Roman" w:hAnsi="Century Gothic"/>
          <w:bCs/>
          <w:lang w:eastAsia="it-IT"/>
        </w:rPr>
        <w:t>I</w:t>
      </w:r>
      <w:bookmarkStart w:id="0" w:name="_GoBack"/>
      <w:bookmarkEnd w:id="0"/>
      <w:r w:rsidRPr="00BB6FE2">
        <w:rPr>
          <w:rFonts w:ascii="Century Gothic" w:eastAsia="Times New Roman" w:hAnsi="Century Gothic"/>
          <w:bCs/>
          <w:lang w:eastAsia="it-IT"/>
        </w:rPr>
        <w:t>nternazionalizzazione 2026 (€ 120.000,00)</w:t>
      </w:r>
      <w:r w:rsidR="00BB6FE2">
        <w:rPr>
          <w:rFonts w:ascii="Century Gothic" w:eastAsia="Times New Roman" w:hAnsi="Century Gothic"/>
          <w:lang w:eastAsia="it-IT"/>
        </w:rPr>
        <w:t xml:space="preserve"> che s</w:t>
      </w:r>
      <w:r w:rsidRPr="00BB6FE2">
        <w:rPr>
          <w:rFonts w:ascii="Century Gothic" w:eastAsia="Times New Roman" w:hAnsi="Century Gothic"/>
          <w:lang w:eastAsia="it-IT"/>
        </w:rPr>
        <w:t xml:space="preserve">ostiene con contributi a fondo perduto </w:t>
      </w:r>
      <w:r w:rsidRPr="00BB6FE2">
        <w:rPr>
          <w:rFonts w:ascii="Century Gothic" w:eastAsia="Times New Roman" w:hAnsi="Century Gothic"/>
          <w:lang w:eastAsia="it-IT"/>
        </w:rPr>
        <w:lastRenderedPageBreak/>
        <w:t>del 50% (fino a 5.000,00 euro) le spese per la partecipazione a fiere internazionali (anche virtuali) e incontri B2B strutturati con buyer esteri. Apertura sportello: </w:t>
      </w:r>
      <w:r w:rsidRPr="00BB6FE2">
        <w:rPr>
          <w:rFonts w:ascii="Century Gothic" w:eastAsia="Times New Roman" w:hAnsi="Century Gothic"/>
          <w:bCs/>
          <w:lang w:eastAsia="it-IT"/>
        </w:rPr>
        <w:t>9 settembre 2026</w:t>
      </w:r>
      <w:r w:rsidRPr="00BB6FE2">
        <w:rPr>
          <w:rFonts w:ascii="Century Gothic" w:eastAsia="Times New Roman" w:hAnsi="Century Gothic"/>
          <w:lang w:eastAsia="it-IT"/>
        </w:rPr>
        <w:t>.</w:t>
      </w:r>
    </w:p>
    <w:p w:rsidR="00BB6FE2" w:rsidRDefault="00BB6FE2" w:rsidP="00BB6FE2">
      <w:pPr>
        <w:spacing w:after="0" w:line="240" w:lineRule="auto"/>
        <w:jc w:val="both"/>
        <w:rPr>
          <w:rFonts w:ascii="Century Gothic" w:eastAsia="Times New Roman" w:hAnsi="Century Gothic"/>
          <w:lang w:eastAsia="it-IT"/>
        </w:rPr>
      </w:pPr>
    </w:p>
    <w:p w:rsidR="00E20DE0" w:rsidRPr="00E20DE0" w:rsidRDefault="00E20DE0" w:rsidP="00BB6FE2">
      <w:pPr>
        <w:spacing w:after="0" w:line="240" w:lineRule="auto"/>
        <w:jc w:val="both"/>
        <w:rPr>
          <w:rFonts w:ascii="Century Gothic" w:eastAsia="Times New Roman" w:hAnsi="Century Gothic"/>
          <w:lang w:eastAsia="it-IT"/>
        </w:rPr>
      </w:pPr>
      <w:r w:rsidRPr="00BB6FE2">
        <w:rPr>
          <w:rFonts w:ascii="Century Gothic" w:eastAsia="Times New Roman" w:hAnsi="Century Gothic"/>
          <w:lang w:eastAsia="it-IT"/>
        </w:rPr>
        <w:t>La strategia per la competitività include anche lo sviluppo delle competenze interne alle aziende. In quest'ottica, la Camera di Commercio mette a disposizione </w:t>
      </w:r>
      <w:r w:rsidRPr="00BB6FE2">
        <w:rPr>
          <w:rFonts w:ascii="Century Gothic" w:eastAsia="Times New Roman" w:hAnsi="Century Gothic"/>
          <w:bCs/>
          <w:lang w:eastAsia="it-IT"/>
        </w:rPr>
        <w:t>10 borse di studio a copertura totale</w:t>
      </w:r>
      <w:r w:rsidRPr="00BB6FE2">
        <w:rPr>
          <w:rFonts w:ascii="Century Gothic" w:eastAsia="Times New Roman" w:hAnsi="Century Gothic"/>
          <w:lang w:eastAsia="it-IT"/>
        </w:rPr>
        <w:t> per la XII Edizione dell'</w:t>
      </w:r>
      <w:r w:rsidRPr="00BB6FE2">
        <w:rPr>
          <w:rFonts w:ascii="Century Gothic" w:eastAsia="Times New Roman" w:hAnsi="Century Gothic"/>
          <w:i/>
          <w:iCs/>
          <w:lang w:eastAsia="it-IT"/>
        </w:rPr>
        <w:t>Executive Master in Digital Marketing</w:t>
      </w:r>
      <w:r w:rsidRPr="00BB6FE2">
        <w:rPr>
          <w:rFonts w:ascii="Century Gothic" w:eastAsia="Times New Roman" w:hAnsi="Century Gothic"/>
          <w:lang w:eastAsia="it-IT"/>
        </w:rPr>
        <w:t>, un percorso di alta formazione da 240 ore organizzato a Pescara da gennaio a luglio 2027. Le borse azzerano il costo di iscrizione e verranno assegnate seguendo l'ordine cronologico di presentazione delle domande.</w:t>
      </w:r>
    </w:p>
    <w:p w:rsidR="00BB6FE2" w:rsidRDefault="00BB6FE2" w:rsidP="00BB6FE2">
      <w:pPr>
        <w:spacing w:after="0" w:line="240" w:lineRule="auto"/>
        <w:jc w:val="both"/>
        <w:rPr>
          <w:rFonts w:ascii="Century Gothic" w:eastAsia="Times New Roman" w:hAnsi="Century Gothic"/>
          <w:lang w:eastAsia="it-IT"/>
        </w:rPr>
      </w:pPr>
    </w:p>
    <w:p w:rsidR="00E20DE0" w:rsidRPr="00E20DE0" w:rsidRDefault="00E20DE0" w:rsidP="00BB6FE2">
      <w:pPr>
        <w:spacing w:after="0" w:line="240" w:lineRule="auto"/>
        <w:jc w:val="both"/>
        <w:rPr>
          <w:rFonts w:ascii="Century Gothic" w:eastAsia="Times New Roman" w:hAnsi="Century Gothic"/>
          <w:lang w:eastAsia="it-IT"/>
        </w:rPr>
      </w:pPr>
      <w:r w:rsidRPr="00BB6FE2">
        <w:rPr>
          <w:rFonts w:ascii="Century Gothic" w:eastAsia="Times New Roman" w:hAnsi="Century Gothic"/>
          <w:lang w:eastAsia="it-IT"/>
        </w:rPr>
        <w:t>Per orientare le imprese e i professionisti nella scelta delle misure più idonee e supportarli nella ricerca delle opportunità di finanziamento, è attivo lo </w:t>
      </w:r>
      <w:r w:rsidRPr="00BB6FE2">
        <w:rPr>
          <w:rFonts w:ascii="Century Gothic" w:eastAsia="Times New Roman" w:hAnsi="Century Gothic"/>
          <w:bCs/>
          <w:lang w:eastAsia="it-IT"/>
        </w:rPr>
        <w:t>Sportello di Finanza Agevolata</w:t>
      </w:r>
      <w:r w:rsidRPr="00BB6FE2">
        <w:rPr>
          <w:rFonts w:ascii="Century Gothic" w:eastAsia="Times New Roman" w:hAnsi="Century Gothic"/>
          <w:lang w:eastAsia="it-IT"/>
        </w:rPr>
        <w:t> della Camera di Commercio Chieti Pescara, che offre anche incontri personalizzati individuali.</w:t>
      </w:r>
    </w:p>
    <w:p w:rsidR="00E20DE0" w:rsidRPr="00BB6FE2" w:rsidRDefault="00E20DE0" w:rsidP="00BB6FE2">
      <w:pPr>
        <w:spacing w:line="240" w:lineRule="auto"/>
        <w:jc w:val="both"/>
        <w:rPr>
          <w:rFonts w:ascii="Century Gothic" w:hAnsi="Century Gothic"/>
        </w:rPr>
      </w:pPr>
    </w:p>
    <w:p w:rsidR="00E20DE0" w:rsidRPr="00BB6FE2" w:rsidRDefault="00E20DE0" w:rsidP="00BB6FE2">
      <w:pPr>
        <w:spacing w:line="360" w:lineRule="auto"/>
        <w:jc w:val="both"/>
        <w:rPr>
          <w:rFonts w:ascii="Century Gothic" w:hAnsi="Century Gothic"/>
        </w:rPr>
      </w:pPr>
    </w:p>
    <w:p w:rsidR="00FB5704" w:rsidRPr="00BB6FE2" w:rsidRDefault="00FB5704" w:rsidP="00BB6FE2">
      <w:pPr>
        <w:spacing w:line="360" w:lineRule="auto"/>
        <w:jc w:val="both"/>
        <w:rPr>
          <w:rFonts w:ascii="Century Gothic" w:hAnsi="Century Gothic"/>
        </w:rPr>
      </w:pPr>
    </w:p>
    <w:sectPr w:rsidR="00FB5704" w:rsidRPr="00BB6FE2" w:rsidSect="005B675D">
      <w:headerReference w:type="default" r:id="rId5"/>
      <w:footerReference w:type="default" r:id="rId6"/>
      <w:pgSz w:w="11906" w:h="16838"/>
      <w:pgMar w:top="2410" w:right="1134" w:bottom="1701" w:left="1134" w:header="708" w:footer="46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75D" w:rsidRPr="002B4094" w:rsidRDefault="00E20DE0" w:rsidP="005B675D">
    <w:pPr>
      <w:pStyle w:val="Pidipagina"/>
      <w:ind w:left="-1134"/>
    </w:pP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-464185</wp:posOffset>
          </wp:positionV>
          <wp:extent cx="6120130" cy="899795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178AC" w:rsidRPr="002B4094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75D" w:rsidRPr="009E76FF" w:rsidRDefault="00E20DE0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-457200</wp:posOffset>
          </wp:positionH>
          <wp:positionV relativeFrom="paragraph">
            <wp:posOffset>-5715</wp:posOffset>
          </wp:positionV>
          <wp:extent cx="2630805" cy="360045"/>
          <wp:effectExtent l="0" t="0" r="0" b="1905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0805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4647565</wp:posOffset>
          </wp:positionH>
          <wp:positionV relativeFrom="paragraph">
            <wp:posOffset>-449580</wp:posOffset>
          </wp:positionV>
          <wp:extent cx="1377315" cy="1432560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315" cy="1432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1447B5"/>
    <w:multiLevelType w:val="multilevel"/>
    <w:tmpl w:val="52C47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E4D"/>
    <w:rsid w:val="0050779A"/>
    <w:rsid w:val="00A85E4D"/>
    <w:rsid w:val="00BB6FE2"/>
    <w:rsid w:val="00C178AC"/>
    <w:rsid w:val="00E20DE0"/>
    <w:rsid w:val="00FB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05BBBD"/>
  <w15:chartTrackingRefBased/>
  <w15:docId w15:val="{379BF7CE-053B-42A9-A2FB-A047649E8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20DE0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20D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0DE0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E20D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0DE0"/>
    <w:rPr>
      <w:rFonts w:ascii="Calibri" w:eastAsia="Calibri" w:hAnsi="Calibri" w:cs="Times New Roman"/>
    </w:rPr>
  </w:style>
  <w:style w:type="character" w:customStyle="1" w:styleId="rnc2gd">
    <w:name w:val="rnc2gd"/>
    <w:basedOn w:val="Carpredefinitoparagrafo"/>
    <w:rsid w:val="00E20D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6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Maura Di Marco</dc:creator>
  <cp:keywords/>
  <dc:description/>
  <cp:lastModifiedBy>Maura Di Marco</cp:lastModifiedBy>
  <cp:revision>3</cp:revision>
  <dcterms:created xsi:type="dcterms:W3CDTF">2026-09-02T11:37:00Z</dcterms:created>
  <dcterms:modified xsi:type="dcterms:W3CDTF">2026-09-02T12:06:00Z</dcterms:modified>
</cp:coreProperties>
</file>