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0B" w:rsidRDefault="00B4740B" w:rsidP="00A57348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it-IT"/>
        </w:rPr>
      </w:pPr>
      <w:r>
        <w:rPr>
          <w:rFonts w:ascii="Arial" w:eastAsia="Times New Roman" w:hAnsi="Arial" w:cs="Arial"/>
          <w:b/>
          <w:color w:val="000000" w:themeColor="text1"/>
          <w:sz w:val="26"/>
          <w:szCs w:val="26"/>
          <w:lang w:eastAsia="it-IT"/>
        </w:rPr>
        <w:t>Esame Agenti di affari in mediazione: dal primo febbraio, sarà possibile fare domanda solo on line</w:t>
      </w:r>
    </w:p>
    <w:p w:rsidR="00A57348" w:rsidRDefault="00721648" w:rsidP="00A57348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color w:val="000000" w:themeColor="text1"/>
          <w:sz w:val="26"/>
          <w:szCs w:val="26"/>
          <w:lang w:eastAsia="it-IT"/>
        </w:rPr>
        <w:t xml:space="preserve">Dal 1° febbraio, </w:t>
      </w:r>
      <w:r w:rsidR="00A57348">
        <w:rPr>
          <w:rFonts w:ascii="Arial" w:hAnsi="Arial" w:cs="Arial"/>
          <w:sz w:val="26"/>
          <w:szCs w:val="26"/>
        </w:rPr>
        <w:t>l</w:t>
      </w:r>
      <w:r w:rsidR="00A57348">
        <w:rPr>
          <w:rFonts w:ascii="Arial" w:hAnsi="Arial" w:cs="Arial"/>
          <w:sz w:val="26"/>
          <w:szCs w:val="26"/>
        </w:rPr>
        <w:t xml:space="preserve">a domanda di iscrizione all’esame di abilitazione dovrà essere presentata </w:t>
      </w:r>
      <w:r w:rsidR="00A57348">
        <w:rPr>
          <w:rFonts w:ascii="Arial" w:hAnsi="Arial" w:cs="Arial"/>
          <w:b/>
          <w:sz w:val="26"/>
          <w:szCs w:val="26"/>
        </w:rPr>
        <w:t>esclusivamente</w:t>
      </w:r>
      <w:r w:rsidR="00A57348">
        <w:rPr>
          <w:rFonts w:ascii="Arial" w:hAnsi="Arial" w:cs="Arial"/>
          <w:sz w:val="26"/>
          <w:szCs w:val="26"/>
        </w:rPr>
        <w:t xml:space="preserve"> </w:t>
      </w:r>
      <w:r w:rsidR="00A57348">
        <w:rPr>
          <w:rFonts w:ascii="Arial" w:hAnsi="Arial" w:cs="Arial"/>
          <w:b/>
          <w:sz w:val="26"/>
          <w:szCs w:val="26"/>
        </w:rPr>
        <w:t xml:space="preserve">tramite il Portale servizi online della Camera di Commercio Chieti Pescara. </w:t>
      </w:r>
    </w:p>
    <w:p w:rsidR="00852DF7" w:rsidRPr="00852DF7" w:rsidRDefault="00852DF7" w:rsidP="00A5734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 Camera di commercio Chieti Pescara ha, infatti, aderito </w:t>
      </w:r>
      <w:r>
        <w:rPr>
          <w:rFonts w:ascii="Arial" w:hAnsi="Arial" w:cs="Arial"/>
          <w:sz w:val="26"/>
          <w:szCs w:val="26"/>
        </w:rPr>
        <w:t>alla Misura 1.4.4. del PNRR – Piano nazionale di ripresa e resilienza “</w:t>
      </w:r>
      <w:r>
        <w:rPr>
          <w:rFonts w:ascii="Arial" w:hAnsi="Arial" w:cs="Arial"/>
          <w:b/>
          <w:sz w:val="26"/>
          <w:szCs w:val="26"/>
        </w:rPr>
        <w:t>Estensione dell'utilizzo delle piattaforme nazionali di identità digitale - SPID CIE - CNS "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che ha lo scopo di favorire il processo di digitalizzazione di tutti i servizi camerali disponibili per le imprese e i cittadini.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:rsidR="00A57348" w:rsidRDefault="00A57348" w:rsidP="00A57348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L'accesso </w:t>
      </w:r>
      <w:r w:rsidR="00852DF7">
        <w:rPr>
          <w:rFonts w:ascii="Arial" w:hAnsi="Arial" w:cs="Arial"/>
          <w:sz w:val="26"/>
          <w:szCs w:val="26"/>
        </w:rPr>
        <w:t xml:space="preserve">alla piattaforma </w:t>
      </w:r>
      <w:r>
        <w:rPr>
          <w:rFonts w:ascii="Arial" w:hAnsi="Arial" w:cs="Arial"/>
          <w:sz w:val="26"/>
          <w:szCs w:val="26"/>
        </w:rPr>
        <w:t>sarà consentito attraverso SPID, CIE o CNS - con creazione di un account personale. Contestualmente al primo accesso, sarà richiesto all'utente il consenso privacy al trattamento dei dati nonché di specificare un proprio indirizzo email e il numero di telefono. La registrazione è totalmente gratuita.</w:t>
      </w:r>
    </w:p>
    <w:p w:rsidR="00A57348" w:rsidRPr="00A57348" w:rsidRDefault="00A57348" w:rsidP="00A5734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 piattaforma non solo consente la compilazione e l’inoltro online della domanda per gli esami: sarà possibile, anche, gestire eventuali integrazioni e comunicazioni con i competenti uffici, con un notevole ris</w:t>
      </w:r>
      <w:r>
        <w:rPr>
          <w:rFonts w:ascii="Arial" w:hAnsi="Arial" w:cs="Arial"/>
          <w:sz w:val="26"/>
          <w:szCs w:val="26"/>
        </w:rPr>
        <w:t>parmio di tempo.</w:t>
      </w:r>
    </w:p>
    <w:p w:rsidR="00B4740B" w:rsidRDefault="00721648" w:rsidP="00A57348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lang w:eastAsia="it-IT"/>
        </w:rPr>
      </w:pPr>
      <w:r>
        <w:rPr>
          <w:rFonts w:ascii="Arial" w:hAnsi="Arial" w:cs="Arial"/>
          <w:sz w:val="26"/>
          <w:szCs w:val="26"/>
        </w:rPr>
        <w:t xml:space="preserve">Ma questa non è l’unica novità. Dal primo gennaio 2024 è, infatti, entrato in vigore il nuovo regolamento </w:t>
      </w:r>
      <w:r w:rsidR="00A57348">
        <w:rPr>
          <w:rFonts w:ascii="Arial" w:hAnsi="Arial" w:cs="Arial"/>
          <w:sz w:val="26"/>
          <w:szCs w:val="26"/>
        </w:rPr>
        <w:t xml:space="preserve">della Camera di commercio Chieti Pescara </w:t>
      </w:r>
      <w:r>
        <w:rPr>
          <w:rFonts w:ascii="Arial" w:hAnsi="Arial" w:cs="Arial"/>
          <w:sz w:val="26"/>
          <w:szCs w:val="26"/>
        </w:rPr>
        <w:t xml:space="preserve">per la disciplina </w:t>
      </w:r>
      <w:r w:rsidR="00B4740B" w:rsidRPr="00B4740B">
        <w:rPr>
          <w:rFonts w:ascii="Arial" w:hAnsi="Arial" w:cs="Arial"/>
          <w:sz w:val="26"/>
          <w:szCs w:val="26"/>
        </w:rPr>
        <w:t>dello svolgimento degli esami p</w:t>
      </w:r>
      <w:r w:rsidR="00B4740B">
        <w:rPr>
          <w:rFonts w:ascii="Arial" w:hAnsi="Arial" w:cs="Arial"/>
          <w:sz w:val="26"/>
          <w:szCs w:val="26"/>
        </w:rPr>
        <w:t xml:space="preserve">er l’abilitazione all’esercizio </w:t>
      </w:r>
      <w:r w:rsidR="00B4740B" w:rsidRPr="00B4740B">
        <w:rPr>
          <w:rFonts w:ascii="Arial" w:hAnsi="Arial" w:cs="Arial"/>
          <w:sz w:val="26"/>
          <w:szCs w:val="26"/>
        </w:rPr>
        <w:t>dell’attività di Agente di affari in Mediazione</w:t>
      </w:r>
      <w:r w:rsidR="00B4740B">
        <w:rPr>
          <w:rFonts w:ascii="Arial" w:hAnsi="Arial" w:cs="Arial"/>
          <w:sz w:val="26"/>
          <w:szCs w:val="26"/>
        </w:rPr>
        <w:t xml:space="preserve"> </w:t>
      </w:r>
      <w:r w:rsidR="00A57348">
        <w:rPr>
          <w:rFonts w:ascii="Arial" w:hAnsi="Arial" w:cs="Arial"/>
          <w:sz w:val="26"/>
          <w:szCs w:val="26"/>
        </w:rPr>
        <w:t>(d</w:t>
      </w:r>
      <w:r w:rsidR="00A57348" w:rsidRPr="00A57348">
        <w:rPr>
          <w:rFonts w:ascii="Arial" w:hAnsi="Arial" w:cs="Arial"/>
          <w:sz w:val="26"/>
          <w:szCs w:val="26"/>
        </w:rPr>
        <w:t>eliberazione del</w:t>
      </w:r>
      <w:r w:rsidR="00A57348">
        <w:rPr>
          <w:rFonts w:ascii="Arial" w:hAnsi="Arial" w:cs="Arial"/>
          <w:sz w:val="26"/>
          <w:szCs w:val="26"/>
        </w:rPr>
        <w:t xml:space="preserve"> Consiglio camerale - n° 32 del 21/12/2023) che prevede l’</w:t>
      </w:r>
      <w:r w:rsidR="00A57348">
        <w:rPr>
          <w:rFonts w:ascii="Arial" w:eastAsia="Times New Roman" w:hAnsi="Arial" w:cs="Arial"/>
          <w:b/>
          <w:color w:val="000000" w:themeColor="text1"/>
          <w:sz w:val="26"/>
          <w:szCs w:val="26"/>
          <w:lang w:eastAsia="it-IT"/>
        </w:rPr>
        <w:t xml:space="preserve">aggiornamento </w:t>
      </w:r>
      <w:r w:rsidR="00B4740B" w:rsidRPr="00F5368E">
        <w:rPr>
          <w:rFonts w:ascii="Arial" w:eastAsia="Times New Roman" w:hAnsi="Arial" w:cs="Arial"/>
          <w:b/>
          <w:color w:val="000000" w:themeColor="text1"/>
          <w:sz w:val="26"/>
          <w:szCs w:val="26"/>
          <w:lang w:eastAsia="it-IT"/>
        </w:rPr>
        <w:t>di alcuni requisiti</w:t>
      </w:r>
      <w:r w:rsidR="00A57348">
        <w:rPr>
          <w:rFonts w:ascii="Arial" w:eastAsia="Times New Roman" w:hAnsi="Arial" w:cs="Arial"/>
          <w:b/>
          <w:color w:val="000000" w:themeColor="text1"/>
          <w:sz w:val="26"/>
          <w:szCs w:val="26"/>
          <w:lang w:eastAsia="it-IT"/>
        </w:rPr>
        <w:t>.</w:t>
      </w:r>
    </w:p>
    <w:p w:rsidR="00852DF7" w:rsidRPr="00852DF7" w:rsidRDefault="00852DF7" w:rsidP="00A57348">
      <w:pPr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it-IT"/>
        </w:rPr>
      </w:pPr>
      <w:r w:rsidRPr="00852DF7">
        <w:rPr>
          <w:rFonts w:ascii="Arial" w:eastAsia="Times New Roman" w:hAnsi="Arial" w:cs="Arial"/>
          <w:b/>
          <w:color w:val="000000" w:themeColor="text1"/>
          <w:sz w:val="26"/>
          <w:szCs w:val="26"/>
          <w:u w:val="single"/>
          <w:lang w:eastAsia="it-IT"/>
        </w:rPr>
        <w:t>Vai alla pagina dedicata</w:t>
      </w:r>
    </w:p>
    <w:p w:rsidR="00A57348" w:rsidRPr="00A57348" w:rsidRDefault="00A57348" w:rsidP="00A57348">
      <w:pPr>
        <w:spacing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color w:val="000000" w:themeColor="text1"/>
          <w:sz w:val="26"/>
          <w:szCs w:val="26"/>
          <w:lang w:eastAsia="it-IT"/>
        </w:rPr>
        <w:t>Al momento della presentazione della domanda, gli aspiranti Agenti di affari in mediazione, dovranno:</w:t>
      </w:r>
    </w:p>
    <w:p w:rsidR="00B4740B" w:rsidRPr="00A57348" w:rsidRDefault="00A57348" w:rsidP="00A573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A57348">
        <w:rPr>
          <w:rFonts w:ascii="Arial" w:hAnsi="Arial" w:cs="Arial"/>
          <w:color w:val="000000" w:themeColor="text1"/>
          <w:sz w:val="26"/>
          <w:szCs w:val="26"/>
        </w:rPr>
        <w:t xml:space="preserve">possedere un </w:t>
      </w:r>
      <w:r w:rsidR="00B4740B" w:rsidRPr="00A57348">
        <w:rPr>
          <w:rFonts w:ascii="Arial" w:hAnsi="Arial" w:cs="Arial"/>
          <w:color w:val="000000" w:themeColor="text1"/>
          <w:sz w:val="26"/>
          <w:szCs w:val="26"/>
        </w:rPr>
        <w:t>diploma di scuola secondaria di secondo grado. I diplomi di scuola secondaria di secondo grado conseguiti all’estero devono essere riconosciuti equipollenti sulla base delle disposizioni normative tempo per tempo vigenti;</w:t>
      </w:r>
    </w:p>
    <w:p w:rsidR="00A57348" w:rsidRPr="00A57348" w:rsidRDefault="00A57348" w:rsidP="00A573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essere</w:t>
      </w:r>
      <w:r w:rsidR="00B4740B" w:rsidRPr="00A57348">
        <w:rPr>
          <w:rFonts w:ascii="Arial" w:hAnsi="Arial" w:cs="Arial"/>
          <w:b/>
          <w:color w:val="000000" w:themeColor="text1"/>
          <w:sz w:val="26"/>
          <w:szCs w:val="26"/>
        </w:rPr>
        <w:t xml:space="preserve"> cittadini italiani o di altro paese dell’Unione Europea, residenti o </w:t>
      </w: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avere </w:t>
      </w:r>
      <w:r w:rsidR="00B4740B" w:rsidRPr="00A57348">
        <w:rPr>
          <w:rFonts w:ascii="Arial" w:hAnsi="Arial" w:cs="Arial"/>
          <w:b/>
          <w:color w:val="000000" w:themeColor="text1"/>
          <w:sz w:val="26"/>
          <w:szCs w:val="26"/>
        </w:rPr>
        <w:t>eletto, da almeno un anno, il proprio domicilio professionale, ai sensi de</w:t>
      </w:r>
      <w:r w:rsidRPr="00A57348">
        <w:rPr>
          <w:rFonts w:ascii="Arial" w:hAnsi="Arial" w:cs="Arial"/>
          <w:b/>
          <w:color w:val="000000" w:themeColor="text1"/>
          <w:sz w:val="26"/>
          <w:szCs w:val="26"/>
        </w:rPr>
        <w:t>ll’art. 43 comma 1 c.c., in un c</w:t>
      </w:r>
      <w:r w:rsidR="00B4740B" w:rsidRPr="00A57348">
        <w:rPr>
          <w:rFonts w:ascii="Arial" w:hAnsi="Arial" w:cs="Arial"/>
          <w:b/>
          <w:color w:val="000000" w:themeColor="text1"/>
          <w:sz w:val="26"/>
          <w:szCs w:val="26"/>
        </w:rPr>
        <w:t>omune delle province di Chieti o di Pescara</w:t>
      </w:r>
      <w:r w:rsidR="00B4740B" w:rsidRPr="00A57348">
        <w:rPr>
          <w:rFonts w:ascii="Arial" w:hAnsi="Arial" w:cs="Arial"/>
          <w:color w:val="000000" w:themeColor="text1"/>
          <w:sz w:val="26"/>
          <w:szCs w:val="26"/>
        </w:rPr>
        <w:t>.</w:t>
      </w:r>
      <w:r w:rsidRPr="00A57348">
        <w:rPr>
          <w:rFonts w:ascii="Arial" w:hAnsi="Arial" w:cs="Arial"/>
          <w:color w:val="000000" w:themeColor="text1"/>
          <w:sz w:val="26"/>
          <w:szCs w:val="26"/>
        </w:rPr>
        <w:t xml:space="preserve"> Gli stranieri residenti in un c</w:t>
      </w:r>
      <w:r w:rsidR="00B4740B" w:rsidRPr="00A57348">
        <w:rPr>
          <w:rFonts w:ascii="Arial" w:hAnsi="Arial" w:cs="Arial"/>
          <w:color w:val="000000" w:themeColor="text1"/>
          <w:sz w:val="26"/>
          <w:szCs w:val="26"/>
        </w:rPr>
        <w:t xml:space="preserve">omune delle province di Chieti o di Pescara dovranno essere, </w:t>
      </w:r>
      <w:r>
        <w:rPr>
          <w:rFonts w:ascii="Arial" w:hAnsi="Arial" w:cs="Arial"/>
          <w:color w:val="000000" w:themeColor="text1"/>
          <w:sz w:val="26"/>
          <w:szCs w:val="26"/>
        </w:rPr>
        <w:t>inoltre</w:t>
      </w:r>
      <w:r w:rsidR="00B4740B" w:rsidRPr="00A57348">
        <w:rPr>
          <w:rFonts w:ascii="Arial" w:hAnsi="Arial" w:cs="Arial"/>
          <w:color w:val="000000" w:themeColor="text1"/>
          <w:sz w:val="26"/>
          <w:szCs w:val="26"/>
        </w:rPr>
        <w:t>, muniti di regolare permesso di soggiorno.</w:t>
      </w:r>
    </w:p>
    <w:p w:rsidR="00B4740B" w:rsidRPr="00A57348" w:rsidRDefault="00B4740B" w:rsidP="002D73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A57348">
        <w:rPr>
          <w:rFonts w:ascii="Arial" w:hAnsi="Arial" w:cs="Arial"/>
          <w:color w:val="000000" w:themeColor="text1"/>
          <w:sz w:val="26"/>
          <w:szCs w:val="26"/>
        </w:rPr>
        <w:t xml:space="preserve">Per documentare il domicilio professionale si possono allegare, a titolo esemplificativo e comunque nel rispetto delle disposizioni di cui al DPR 445/2000 e </w:t>
      </w:r>
      <w:proofErr w:type="spellStart"/>
      <w:r w:rsidRPr="00A57348">
        <w:rPr>
          <w:rFonts w:ascii="Arial" w:hAnsi="Arial" w:cs="Arial"/>
          <w:color w:val="000000" w:themeColor="text1"/>
          <w:sz w:val="26"/>
          <w:szCs w:val="26"/>
        </w:rPr>
        <w:t>sm.i</w:t>
      </w:r>
      <w:proofErr w:type="spellEnd"/>
      <w:r w:rsidRPr="00A57348">
        <w:rPr>
          <w:rFonts w:ascii="Arial" w:hAnsi="Arial" w:cs="Arial"/>
          <w:color w:val="000000" w:themeColor="text1"/>
          <w:sz w:val="26"/>
          <w:szCs w:val="26"/>
        </w:rPr>
        <w:t>. in materia di semplificazione amministrativa, i seguenti documenti:</w:t>
      </w:r>
    </w:p>
    <w:p w:rsidR="00B4740B" w:rsidRPr="002D7379" w:rsidRDefault="00B4740B" w:rsidP="002D737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D7379">
        <w:rPr>
          <w:rFonts w:ascii="Arial" w:hAnsi="Arial" w:cs="Arial"/>
          <w:color w:val="000000" w:themeColor="text1"/>
          <w:sz w:val="26"/>
          <w:szCs w:val="26"/>
        </w:rPr>
        <w:lastRenderedPageBreak/>
        <w:t xml:space="preserve">visura del </w:t>
      </w:r>
      <w:r w:rsidR="00A57348" w:rsidRPr="002D7379">
        <w:rPr>
          <w:rFonts w:ascii="Arial" w:hAnsi="Arial" w:cs="Arial"/>
          <w:color w:val="000000" w:themeColor="text1"/>
          <w:sz w:val="26"/>
          <w:szCs w:val="26"/>
        </w:rPr>
        <w:t>Registro i</w:t>
      </w:r>
      <w:r w:rsidRPr="002D7379">
        <w:rPr>
          <w:rFonts w:ascii="Arial" w:hAnsi="Arial" w:cs="Arial"/>
          <w:color w:val="000000" w:themeColor="text1"/>
          <w:sz w:val="26"/>
          <w:szCs w:val="26"/>
        </w:rPr>
        <w:t xml:space="preserve">mprese nella quale sono indicati il titolare o il legale rappresentante di impresa, dalla quale si evince la sede principale da almeno un anno </w:t>
      </w:r>
      <w:proofErr w:type="gramStart"/>
      <w:r w:rsidR="002D7379" w:rsidRPr="002D7379">
        <w:rPr>
          <w:rFonts w:ascii="Arial" w:hAnsi="Arial" w:cs="Arial"/>
          <w:color w:val="000000" w:themeColor="text1"/>
          <w:sz w:val="26"/>
          <w:szCs w:val="26"/>
        </w:rPr>
        <w:t xml:space="preserve">dell’attività </w:t>
      </w:r>
      <w:r w:rsidRPr="002D7379">
        <w:rPr>
          <w:rFonts w:ascii="Arial" w:hAnsi="Arial" w:cs="Arial"/>
          <w:color w:val="000000" w:themeColor="text1"/>
          <w:sz w:val="26"/>
          <w:szCs w:val="26"/>
        </w:rPr>
        <w:t xml:space="preserve"> nelle</w:t>
      </w:r>
      <w:proofErr w:type="gramEnd"/>
      <w:r w:rsidRPr="002D7379">
        <w:rPr>
          <w:rFonts w:ascii="Arial" w:hAnsi="Arial" w:cs="Arial"/>
          <w:color w:val="000000" w:themeColor="text1"/>
          <w:sz w:val="26"/>
          <w:szCs w:val="26"/>
        </w:rPr>
        <w:t xml:space="preserve"> province di Chieti e di Pescara;</w:t>
      </w:r>
    </w:p>
    <w:p w:rsidR="00B4740B" w:rsidRPr="002D7379" w:rsidRDefault="00B4740B" w:rsidP="002D737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D7379">
        <w:rPr>
          <w:rFonts w:ascii="Arial" w:hAnsi="Arial" w:cs="Arial"/>
          <w:color w:val="000000" w:themeColor="text1"/>
          <w:sz w:val="26"/>
          <w:szCs w:val="26"/>
        </w:rPr>
        <w:t>copia del contratto di lavoro/certificato di servizio per lavoro dipendente da almeno un anno nelle province di Chieti o di Pescara;</w:t>
      </w:r>
    </w:p>
    <w:p w:rsidR="00B4740B" w:rsidRPr="002D7379" w:rsidRDefault="00B4740B" w:rsidP="002D737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D7379">
        <w:rPr>
          <w:rFonts w:ascii="Arial" w:hAnsi="Arial" w:cs="Arial"/>
          <w:color w:val="000000" w:themeColor="text1"/>
          <w:sz w:val="26"/>
          <w:szCs w:val="26"/>
        </w:rPr>
        <w:t>copia di contratti per incarichi professionali o di consulenza stipulati da almeno un</w:t>
      </w:r>
      <w:r w:rsidR="002D737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2D7379">
        <w:rPr>
          <w:rFonts w:ascii="Arial" w:hAnsi="Arial" w:cs="Arial"/>
          <w:color w:val="000000" w:themeColor="text1"/>
          <w:sz w:val="26"/>
          <w:szCs w:val="26"/>
        </w:rPr>
        <w:t>anno per lo svolgimento delle relative attività nelle province di Chieti o di Pescara.</w:t>
      </w:r>
      <w:r w:rsidR="002D737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2D7379">
        <w:rPr>
          <w:rFonts w:ascii="Arial" w:hAnsi="Arial" w:cs="Arial"/>
          <w:color w:val="000000" w:themeColor="text1"/>
          <w:sz w:val="26"/>
          <w:szCs w:val="26"/>
        </w:rPr>
        <w:t xml:space="preserve">L’interessato potrà comunque esibire, in aggiunta a quanto sopra, ogni altra eventuale documentazione adeguatamente comprovante il domicilio professionale ai sensi dell’art. 43 comma 1 </w:t>
      </w:r>
      <w:proofErr w:type="gramStart"/>
      <w:r w:rsidRPr="002D7379">
        <w:rPr>
          <w:rFonts w:ascii="Arial" w:hAnsi="Arial" w:cs="Arial"/>
          <w:color w:val="000000" w:themeColor="text1"/>
          <w:sz w:val="26"/>
          <w:szCs w:val="26"/>
        </w:rPr>
        <w:t>c.c..</w:t>
      </w:r>
      <w:proofErr w:type="gramEnd"/>
    </w:p>
    <w:p w:rsidR="00B4740B" w:rsidRPr="002D7379" w:rsidRDefault="00B4740B" w:rsidP="002D737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D7379">
        <w:rPr>
          <w:rFonts w:ascii="Arial" w:hAnsi="Arial" w:cs="Arial"/>
          <w:color w:val="000000" w:themeColor="text1"/>
          <w:sz w:val="26"/>
          <w:szCs w:val="26"/>
        </w:rPr>
        <w:t>a</w:t>
      </w:r>
      <w:r w:rsidR="002D7379">
        <w:rPr>
          <w:rFonts w:ascii="Arial" w:hAnsi="Arial" w:cs="Arial"/>
          <w:color w:val="000000" w:themeColor="text1"/>
          <w:sz w:val="26"/>
          <w:szCs w:val="26"/>
        </w:rPr>
        <w:t xml:space="preserve">vere </w:t>
      </w:r>
      <w:r w:rsidRPr="002D7379">
        <w:rPr>
          <w:rFonts w:ascii="Arial" w:hAnsi="Arial" w:cs="Arial"/>
          <w:color w:val="000000" w:themeColor="text1"/>
          <w:sz w:val="26"/>
          <w:szCs w:val="26"/>
        </w:rPr>
        <w:t>frequentato e superato un corso di formazione presso un ente riconosciuto dalle Regioni, ai sensi delle disposizioni normative vigenti.</w:t>
      </w:r>
    </w:p>
    <w:p w:rsidR="00A57348" w:rsidRPr="004D63B4" w:rsidRDefault="00A57348" w:rsidP="00A57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B4740B" w:rsidRDefault="00B4740B" w:rsidP="00A57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D63B4">
        <w:rPr>
          <w:rFonts w:ascii="Arial" w:hAnsi="Arial" w:cs="Arial"/>
          <w:color w:val="000000" w:themeColor="text1"/>
          <w:sz w:val="26"/>
          <w:szCs w:val="26"/>
        </w:rPr>
        <w:t xml:space="preserve">I </w:t>
      </w:r>
      <w:r w:rsidR="00A57348">
        <w:rPr>
          <w:rFonts w:ascii="Arial" w:hAnsi="Arial" w:cs="Arial"/>
          <w:color w:val="000000" w:themeColor="text1"/>
          <w:sz w:val="26"/>
          <w:szCs w:val="26"/>
        </w:rPr>
        <w:t>requisiti per l’ammissione dovrann</w:t>
      </w:r>
      <w:r w:rsidRPr="004D63B4">
        <w:rPr>
          <w:rFonts w:ascii="Arial" w:hAnsi="Arial" w:cs="Arial"/>
          <w:color w:val="000000" w:themeColor="text1"/>
          <w:sz w:val="26"/>
          <w:szCs w:val="26"/>
        </w:rPr>
        <w:t>o essere posseduti alla data di presentazione della domanda di partecipazione alla</w:t>
      </w:r>
      <w:r w:rsidR="002D7379">
        <w:rPr>
          <w:rFonts w:ascii="Arial" w:hAnsi="Arial" w:cs="Arial"/>
          <w:color w:val="000000" w:themeColor="text1"/>
          <w:sz w:val="26"/>
          <w:szCs w:val="26"/>
        </w:rPr>
        <w:t xml:space="preserve"> sessione d’esami e mantenuti fi</w:t>
      </w:r>
      <w:r w:rsidRPr="004D63B4">
        <w:rPr>
          <w:rFonts w:ascii="Arial" w:hAnsi="Arial" w:cs="Arial"/>
          <w:color w:val="000000" w:themeColor="text1"/>
          <w:sz w:val="26"/>
          <w:szCs w:val="26"/>
        </w:rPr>
        <w:t>no al termine delle prove d’esame. Il difetto dei requisiti prescritti comporta, da parte</w:t>
      </w:r>
      <w:r w:rsidRPr="004D63B4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4D63B4">
        <w:rPr>
          <w:rFonts w:ascii="Arial" w:hAnsi="Arial" w:cs="Arial"/>
          <w:color w:val="000000" w:themeColor="text1"/>
          <w:sz w:val="26"/>
          <w:szCs w:val="26"/>
        </w:rPr>
        <w:t>dell’Ente, il diniego alla partecipazione alla sessione d’esami e/o all’annullamento delle eventuali prove sostenute.</w:t>
      </w:r>
    </w:p>
    <w:p w:rsidR="00B4740B" w:rsidRPr="004D63B4" w:rsidRDefault="00B4740B" w:rsidP="00A573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721648" w:rsidRPr="002D7379" w:rsidRDefault="00B4740B" w:rsidP="00A57348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A57348">
        <w:rPr>
          <w:rFonts w:ascii="Arial" w:hAnsi="Arial" w:cs="Arial"/>
          <w:b/>
          <w:color w:val="000000" w:themeColor="text1"/>
          <w:sz w:val="26"/>
          <w:szCs w:val="26"/>
        </w:rPr>
        <w:t>Le disposizioni di cui sopra</w:t>
      </w:r>
      <w:r w:rsidR="002D7379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A57348">
        <w:rPr>
          <w:rFonts w:ascii="Arial" w:hAnsi="Arial" w:cs="Arial"/>
          <w:b/>
          <w:color w:val="000000" w:themeColor="text1"/>
          <w:sz w:val="26"/>
          <w:szCs w:val="26"/>
        </w:rPr>
        <w:t>trovano applicazione anche per le candidature presentate nell’anno 2023 e non ancora sottoposte ad esame.</w:t>
      </w:r>
    </w:p>
    <w:p w:rsidR="002D7379" w:rsidRPr="00F5368E" w:rsidRDefault="002D7379" w:rsidP="002D7379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it-IT"/>
        </w:rPr>
      </w:pPr>
      <w:r w:rsidRPr="004D63B4">
        <w:rPr>
          <w:rFonts w:ascii="Arial" w:eastAsia="Times New Roman" w:hAnsi="Arial" w:cs="Arial"/>
          <w:color w:val="000000" w:themeColor="text1"/>
          <w:sz w:val="26"/>
          <w:szCs w:val="26"/>
          <w:lang w:eastAsia="it-IT"/>
        </w:rPr>
        <w:t>La Camera di Commercio organizza in media 2 sessioni d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it-IT"/>
        </w:rPr>
        <w:t>'esame all'anno con massimo, di quaranta</w:t>
      </w:r>
      <w:r w:rsidRPr="004D63B4">
        <w:rPr>
          <w:rFonts w:ascii="Arial" w:eastAsia="Times New Roman" w:hAnsi="Arial" w:cs="Arial"/>
          <w:color w:val="000000" w:themeColor="text1"/>
          <w:sz w:val="26"/>
          <w:szCs w:val="26"/>
          <w:lang w:eastAsia="it-IT"/>
        </w:rPr>
        <w:t xml:space="preserve"> candidati a sessione.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it-IT"/>
        </w:rPr>
        <w:t xml:space="preserve"> </w:t>
      </w:r>
      <w:r w:rsidRPr="004D63B4">
        <w:rPr>
          <w:rFonts w:ascii="Arial" w:hAnsi="Arial" w:cs="Arial"/>
          <w:color w:val="000000" w:themeColor="text1"/>
          <w:sz w:val="26"/>
          <w:szCs w:val="26"/>
        </w:rPr>
        <w:t xml:space="preserve">In sede d'iscrizione all'esame è richiesto il </w:t>
      </w:r>
      <w:r w:rsidRPr="004D63B4">
        <w:rPr>
          <w:rFonts w:ascii="Arial" w:hAnsi="Arial" w:cs="Arial"/>
          <w:b/>
          <w:color w:val="000000" w:themeColor="text1"/>
          <w:sz w:val="26"/>
          <w:szCs w:val="26"/>
        </w:rPr>
        <w:t>versamento di 93,00 euro</w:t>
      </w:r>
      <w:r w:rsidRPr="004D63B4">
        <w:rPr>
          <w:rFonts w:ascii="Arial" w:hAnsi="Arial" w:cs="Arial"/>
          <w:color w:val="000000" w:themeColor="text1"/>
          <w:sz w:val="26"/>
          <w:szCs w:val="26"/>
        </w:rPr>
        <w:t xml:space="preserve">. </w:t>
      </w:r>
      <w:r>
        <w:rPr>
          <w:rFonts w:ascii="Arial" w:hAnsi="Arial" w:cs="Arial"/>
          <w:b/>
          <w:color w:val="000000" w:themeColor="text1"/>
          <w:sz w:val="26"/>
          <w:szCs w:val="26"/>
        </w:rPr>
        <w:t>L’</w:t>
      </w:r>
      <w:r w:rsidRPr="004D63B4">
        <w:rPr>
          <w:rFonts w:ascii="Arial" w:hAnsi="Arial" w:cs="Arial"/>
          <w:b/>
          <w:color w:val="000000" w:themeColor="text1"/>
          <w:sz w:val="26"/>
          <w:szCs w:val="26"/>
        </w:rPr>
        <w:t>importo è comprensivo di diritti di segreteria, pari a 77,00 euro e di imposta di bollo, pari a 16,00 euro</w:t>
      </w:r>
      <w:r w:rsidRPr="004D63B4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2D7379" w:rsidRPr="004D63B4" w:rsidRDefault="002D7379" w:rsidP="002D7379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D63B4">
        <w:rPr>
          <w:rFonts w:ascii="Arial" w:hAnsi="Arial" w:cs="Arial"/>
          <w:color w:val="000000" w:themeColor="text1"/>
          <w:sz w:val="26"/>
          <w:szCs w:val="26"/>
        </w:rPr>
        <w:t>La procedura guidata prevede il pagamento in modalità immediata tramite:</w:t>
      </w:r>
    </w:p>
    <w:p w:rsidR="002D7379" w:rsidRPr="00852DF7" w:rsidRDefault="002D7379" w:rsidP="00852DF7">
      <w:pPr>
        <w:pStyle w:val="Paragrafoelenco"/>
        <w:numPr>
          <w:ilvl w:val="1"/>
          <w:numId w:val="6"/>
        </w:num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52DF7">
        <w:rPr>
          <w:rFonts w:ascii="Arial" w:hAnsi="Arial" w:cs="Arial"/>
          <w:color w:val="000000" w:themeColor="text1"/>
          <w:sz w:val="26"/>
          <w:szCs w:val="26"/>
        </w:rPr>
        <w:t>Carta di cred</w:t>
      </w:r>
      <w:bookmarkStart w:id="0" w:name="_GoBack"/>
      <w:bookmarkEnd w:id="0"/>
      <w:r w:rsidRPr="00852DF7">
        <w:rPr>
          <w:rFonts w:ascii="Arial" w:hAnsi="Arial" w:cs="Arial"/>
          <w:color w:val="000000" w:themeColor="text1"/>
          <w:sz w:val="26"/>
          <w:szCs w:val="26"/>
        </w:rPr>
        <w:t>ito (anche prepagata);</w:t>
      </w:r>
    </w:p>
    <w:p w:rsidR="002D7379" w:rsidRPr="00852DF7" w:rsidRDefault="002D7379" w:rsidP="00852DF7">
      <w:pPr>
        <w:pStyle w:val="Paragrafoelenco"/>
        <w:numPr>
          <w:ilvl w:val="1"/>
          <w:numId w:val="6"/>
        </w:num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52DF7">
        <w:rPr>
          <w:rFonts w:ascii="Arial" w:hAnsi="Arial" w:cs="Arial"/>
          <w:color w:val="000000" w:themeColor="text1"/>
          <w:sz w:val="26"/>
          <w:szCs w:val="26"/>
        </w:rPr>
        <w:t>Carta di debito;</w:t>
      </w:r>
    </w:p>
    <w:p w:rsidR="002D7379" w:rsidRPr="00852DF7" w:rsidRDefault="002D7379" w:rsidP="00852DF7">
      <w:pPr>
        <w:pStyle w:val="Paragrafoelenco"/>
        <w:numPr>
          <w:ilvl w:val="1"/>
          <w:numId w:val="6"/>
        </w:num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52DF7">
        <w:rPr>
          <w:rFonts w:ascii="Arial" w:hAnsi="Arial" w:cs="Arial"/>
          <w:color w:val="000000" w:themeColor="text1"/>
          <w:sz w:val="26"/>
          <w:szCs w:val="26"/>
        </w:rPr>
        <w:t>Altri metodi di pagamento per via elettronica (e-</w:t>
      </w:r>
      <w:proofErr w:type="spellStart"/>
      <w:r w:rsidRPr="00852DF7">
        <w:rPr>
          <w:rFonts w:ascii="Arial" w:hAnsi="Arial" w:cs="Arial"/>
          <w:color w:val="000000" w:themeColor="text1"/>
          <w:sz w:val="26"/>
          <w:szCs w:val="26"/>
        </w:rPr>
        <w:t>payment</w:t>
      </w:r>
      <w:proofErr w:type="spellEnd"/>
      <w:r w:rsidRPr="00852DF7">
        <w:rPr>
          <w:rFonts w:ascii="Arial" w:hAnsi="Arial" w:cs="Arial"/>
          <w:color w:val="000000" w:themeColor="text1"/>
          <w:sz w:val="26"/>
          <w:szCs w:val="26"/>
        </w:rPr>
        <w:t xml:space="preserve">) previsti dalla piattaforma </w:t>
      </w:r>
      <w:proofErr w:type="spellStart"/>
      <w:r w:rsidRPr="00852DF7">
        <w:rPr>
          <w:rFonts w:ascii="Arial" w:hAnsi="Arial" w:cs="Arial"/>
          <w:color w:val="000000" w:themeColor="text1"/>
          <w:sz w:val="26"/>
          <w:szCs w:val="26"/>
        </w:rPr>
        <w:t>PagoPa</w:t>
      </w:r>
      <w:proofErr w:type="spellEnd"/>
    </w:p>
    <w:p w:rsidR="002D7379" w:rsidRPr="004D63B4" w:rsidRDefault="002D7379" w:rsidP="002D7379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D63B4">
        <w:rPr>
          <w:rFonts w:ascii="Arial" w:hAnsi="Arial" w:cs="Arial"/>
          <w:color w:val="000000" w:themeColor="text1"/>
          <w:sz w:val="26"/>
          <w:szCs w:val="26"/>
        </w:rPr>
        <w:t>Per approfondimenti sullo strumento: www.pagopa.gov.it/</w:t>
      </w:r>
    </w:p>
    <w:p w:rsidR="003A7DEF" w:rsidRDefault="003A7DEF" w:rsidP="00A57348">
      <w:pPr>
        <w:jc w:val="both"/>
      </w:pPr>
    </w:p>
    <w:sectPr w:rsidR="003A7D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FE4"/>
    <w:multiLevelType w:val="hybridMultilevel"/>
    <w:tmpl w:val="B60A4F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2256C"/>
    <w:multiLevelType w:val="hybridMultilevel"/>
    <w:tmpl w:val="956016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4056C"/>
    <w:multiLevelType w:val="hybridMultilevel"/>
    <w:tmpl w:val="808E3E02"/>
    <w:lvl w:ilvl="0" w:tplc="D07220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E5D19"/>
    <w:multiLevelType w:val="hybridMultilevel"/>
    <w:tmpl w:val="BAFA85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24C6"/>
    <w:multiLevelType w:val="hybridMultilevel"/>
    <w:tmpl w:val="3806C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76E2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11F5"/>
    <w:multiLevelType w:val="hybridMultilevel"/>
    <w:tmpl w:val="A4445070"/>
    <w:lvl w:ilvl="0" w:tplc="D07220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EC"/>
    <w:rsid w:val="002D7379"/>
    <w:rsid w:val="003A7DEF"/>
    <w:rsid w:val="00721648"/>
    <w:rsid w:val="008312EC"/>
    <w:rsid w:val="00852DF7"/>
    <w:rsid w:val="00A57348"/>
    <w:rsid w:val="00B4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20CE"/>
  <w15:chartTrackingRefBased/>
  <w15:docId w15:val="{CC1C12F1-973C-4A2A-A13E-A6407069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6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73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Di Marco</dc:creator>
  <cp:keywords/>
  <dc:description/>
  <cp:lastModifiedBy>Maura Di Marco</cp:lastModifiedBy>
  <cp:revision>3</cp:revision>
  <cp:lastPrinted>2024-01-31T10:25:00Z</cp:lastPrinted>
  <dcterms:created xsi:type="dcterms:W3CDTF">2024-01-31T09:23:00Z</dcterms:created>
  <dcterms:modified xsi:type="dcterms:W3CDTF">2024-01-31T10:27:00Z</dcterms:modified>
</cp:coreProperties>
</file>