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FA" w:rsidRPr="00A808F9" w:rsidRDefault="00C831FA" w:rsidP="00A808F9">
      <w:pPr>
        <w:spacing w:line="240" w:lineRule="auto"/>
        <w:rPr>
          <w:rFonts w:ascii="Century Gothic" w:hAnsi="Century Gothic"/>
          <w:b/>
          <w:sz w:val="24"/>
          <w:szCs w:val="24"/>
        </w:rPr>
      </w:pPr>
    </w:p>
    <w:p w:rsidR="00B04F35" w:rsidRPr="00A808F9" w:rsidRDefault="00B04F35" w:rsidP="00B04F35">
      <w:pPr>
        <w:spacing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B04F35" w:rsidRPr="00BB1A2C" w:rsidRDefault="00A808F9" w:rsidP="00BB1A2C">
      <w:pPr>
        <w:jc w:val="center"/>
        <w:rPr>
          <w:b/>
          <w:sz w:val="26"/>
          <w:szCs w:val="26"/>
        </w:rPr>
      </w:pPr>
      <w:bookmarkStart w:id="0" w:name="_GoBack"/>
      <w:proofErr w:type="spellStart"/>
      <w:r w:rsidRPr="00BB1A2C">
        <w:rPr>
          <w:b/>
          <w:sz w:val="26"/>
          <w:szCs w:val="26"/>
        </w:rPr>
        <w:t>Covid</w:t>
      </w:r>
      <w:proofErr w:type="spellEnd"/>
      <w:r w:rsidRPr="00BB1A2C">
        <w:rPr>
          <w:b/>
          <w:sz w:val="26"/>
          <w:szCs w:val="26"/>
        </w:rPr>
        <w:t xml:space="preserve"> ed e</w:t>
      </w:r>
      <w:r w:rsidR="00B04F35" w:rsidRPr="00BB1A2C">
        <w:rPr>
          <w:b/>
          <w:sz w:val="26"/>
          <w:szCs w:val="26"/>
        </w:rPr>
        <w:t>conomia: è la ristorazione il settore ad accusare di più il colpo</w:t>
      </w:r>
    </w:p>
    <w:p w:rsidR="00C831FA" w:rsidRPr="00BB1A2C" w:rsidRDefault="00B04F35" w:rsidP="00BB1A2C">
      <w:pPr>
        <w:jc w:val="both"/>
        <w:rPr>
          <w:i/>
          <w:sz w:val="26"/>
          <w:szCs w:val="26"/>
        </w:rPr>
      </w:pPr>
      <w:r w:rsidRPr="00BB1A2C">
        <w:rPr>
          <w:i/>
          <w:sz w:val="26"/>
          <w:szCs w:val="26"/>
        </w:rPr>
        <w:t>La congiuntura tra il peso che la ristorazione ha sulle province di Chieti Pescara, con il maggio</w:t>
      </w:r>
      <w:r w:rsidR="00C95CE2" w:rsidRPr="00BB1A2C">
        <w:rPr>
          <w:i/>
          <w:sz w:val="26"/>
          <w:szCs w:val="26"/>
        </w:rPr>
        <w:t>re</w:t>
      </w:r>
      <w:r w:rsidRPr="00BB1A2C">
        <w:rPr>
          <w:i/>
          <w:sz w:val="26"/>
          <w:szCs w:val="26"/>
        </w:rPr>
        <w:t xml:space="preserve"> numero di addetti impiegati sul totale nelle due province, e l’andamento dell’occupazione, dei consumi, del turismo e dello </w:t>
      </w:r>
      <w:proofErr w:type="spellStart"/>
      <w:r w:rsidRPr="00BB1A2C">
        <w:rPr>
          <w:i/>
          <w:sz w:val="26"/>
          <w:szCs w:val="26"/>
        </w:rPr>
        <w:t>smartworking</w:t>
      </w:r>
      <w:proofErr w:type="spellEnd"/>
      <w:r w:rsidRPr="00BB1A2C">
        <w:rPr>
          <w:i/>
          <w:sz w:val="26"/>
          <w:szCs w:val="26"/>
        </w:rPr>
        <w:t xml:space="preserve"> sarebbe fatale per la solvibilità creditizia del settore</w:t>
      </w:r>
      <w:r w:rsidR="00A808F9" w:rsidRPr="00BB1A2C">
        <w:rPr>
          <w:i/>
          <w:sz w:val="26"/>
          <w:szCs w:val="26"/>
        </w:rPr>
        <w:t>.</w:t>
      </w:r>
    </w:p>
    <w:p w:rsidR="005D621E" w:rsidRPr="00A808F9" w:rsidRDefault="00B04F35" w:rsidP="00BB1A2C">
      <w:pPr>
        <w:jc w:val="both"/>
      </w:pPr>
      <w:r w:rsidRPr="00A808F9">
        <w:t xml:space="preserve">Pescara, 25 marzo 2021 - </w:t>
      </w:r>
      <w:r w:rsidR="00D540EF" w:rsidRPr="00A808F9">
        <w:t xml:space="preserve">Prosegue l’attività di monitoraggio della Camera di Commercio sugli effetti del </w:t>
      </w:r>
      <w:proofErr w:type="spellStart"/>
      <w:r w:rsidR="00D540EF" w:rsidRPr="00A808F9">
        <w:t>Covid</w:t>
      </w:r>
      <w:proofErr w:type="spellEnd"/>
      <w:r w:rsidR="00D540EF" w:rsidRPr="00A808F9">
        <w:t xml:space="preserve"> per le imprese di Chieti Pescara. Aggiornati gli scenari prospettati dalla </w:t>
      </w:r>
      <w:proofErr w:type="spellStart"/>
      <w:r w:rsidR="00D540EF" w:rsidRPr="00A808F9">
        <w:t>Cerved</w:t>
      </w:r>
      <w:proofErr w:type="spellEnd"/>
      <w:r w:rsidR="00D540EF" w:rsidRPr="00A808F9">
        <w:t>, istituto di statistica nazionale, con il quale l’ente ha avviato una collaborazione dalla quale è scaturito</w:t>
      </w:r>
      <w:r w:rsidR="000933EA" w:rsidRPr="00A808F9">
        <w:t>,</w:t>
      </w:r>
      <w:r w:rsidR="00D540EF" w:rsidRPr="00A808F9">
        <w:t xml:space="preserve"> a dicembre scorso</w:t>
      </w:r>
      <w:r w:rsidR="000933EA" w:rsidRPr="00A808F9">
        <w:t>,</w:t>
      </w:r>
      <w:r w:rsidR="00D540EF" w:rsidRPr="00A808F9">
        <w:t xml:space="preserve"> un primo studio che è stato poi presentato dalla struttura a fine gennaio.</w:t>
      </w:r>
    </w:p>
    <w:p w:rsidR="00D540EF" w:rsidRPr="00A808F9" w:rsidRDefault="00D540EF" w:rsidP="00BB1A2C">
      <w:pPr>
        <w:jc w:val="both"/>
      </w:pPr>
      <w:r w:rsidRPr="00A808F9">
        <w:t>I dati presentati in quella occasione erano frutto di una proiezione: adesso, invece, ci si basa sulla realtà dei fatti. Il tessuto imprenditoriale delle province di Chieti e Pescara si presenta in maniera sempre più netta caratterizzato da micro imprese, a carattere individuale, concentrate nelle due province sia per sede legale che per se</w:t>
      </w:r>
      <w:r w:rsidR="00601F26" w:rsidRPr="00A808F9">
        <w:t>de operativa, di cui il 40,7% ha un fatturato al di sotto dei cinquecentomila euro</w:t>
      </w:r>
      <w:r w:rsidRPr="00A808F9">
        <w:t xml:space="preserve">. </w:t>
      </w:r>
    </w:p>
    <w:p w:rsidR="00D540EF" w:rsidRPr="00A808F9" w:rsidRDefault="00D540EF" w:rsidP="00BB1A2C">
      <w:pPr>
        <w:jc w:val="both"/>
      </w:pPr>
      <w:r w:rsidRPr="00A808F9">
        <w:t xml:space="preserve">Tra i primi cinque settori che </w:t>
      </w:r>
      <w:r w:rsidR="00E83611" w:rsidRPr="00A808F9">
        <w:t>impiegano un maggior numero di addetti</w:t>
      </w:r>
      <w:r w:rsidRPr="00A808F9">
        <w:t>, ci sono il settore dell</w:t>
      </w:r>
      <w:r w:rsidR="00E83611" w:rsidRPr="00A808F9">
        <w:t xml:space="preserve">a “ristorazione”, </w:t>
      </w:r>
      <w:r w:rsidR="00C95CE2" w:rsidRPr="00A808F9">
        <w:t>dell’</w:t>
      </w:r>
      <w:r w:rsidR="00E83611" w:rsidRPr="00A808F9">
        <w:t xml:space="preserve">“edilizia”, </w:t>
      </w:r>
      <w:r w:rsidR="00C95CE2" w:rsidRPr="00A808F9">
        <w:t xml:space="preserve">i </w:t>
      </w:r>
      <w:r w:rsidR="00E83611" w:rsidRPr="00A808F9">
        <w:t xml:space="preserve">“servizi sanitari”, </w:t>
      </w:r>
      <w:r w:rsidR="00C95CE2" w:rsidRPr="00A808F9">
        <w:t xml:space="preserve">la </w:t>
      </w:r>
      <w:r w:rsidR="00E83611" w:rsidRPr="00A808F9">
        <w:t xml:space="preserve">“ricerca e selezione del personale”, </w:t>
      </w:r>
      <w:r w:rsidR="00601F26" w:rsidRPr="00A808F9">
        <w:t xml:space="preserve">il comparto </w:t>
      </w:r>
      <w:proofErr w:type="spellStart"/>
      <w:r w:rsidR="00601F26" w:rsidRPr="00A808F9">
        <w:t>dell’automotive</w:t>
      </w:r>
      <w:proofErr w:type="spellEnd"/>
      <w:r w:rsidR="00E83611" w:rsidRPr="00A808F9">
        <w:t xml:space="preserve">. </w:t>
      </w:r>
    </w:p>
    <w:p w:rsidR="00C95CE2" w:rsidRPr="00A808F9" w:rsidRDefault="00E83611" w:rsidP="00BB1A2C">
      <w:pPr>
        <w:jc w:val="both"/>
      </w:pPr>
      <w:r w:rsidRPr="00A808F9">
        <w:t>Sicuramente il settore della ristorazione è tra i più penalizzati: malgrado le prospettive di graduale ripresa, la situazione potrebbe impattare su quelle meno stru</w:t>
      </w:r>
      <w:r w:rsidR="000933EA" w:rsidRPr="00A808F9">
        <w:t>tturate. La domanda è ciclica e</w:t>
      </w:r>
      <w:r w:rsidRPr="00A808F9">
        <w:t xml:space="preserve">d è legata all’andamento dell’occupazione, oltre che dei consumi e del turismo. Così come a giocare un ruolo determinante potrebbe essere lo sviluppo strutturale dello </w:t>
      </w:r>
      <w:proofErr w:type="spellStart"/>
      <w:r w:rsidRPr="00A808F9">
        <w:t>smartworking</w:t>
      </w:r>
      <w:proofErr w:type="spellEnd"/>
      <w:r w:rsidRPr="00A808F9">
        <w:t xml:space="preserve">. </w:t>
      </w:r>
    </w:p>
    <w:p w:rsidR="00C95CE2" w:rsidRPr="00A808F9" w:rsidRDefault="00E83611" w:rsidP="00BB1A2C">
      <w:pPr>
        <w:jc w:val="both"/>
      </w:pPr>
      <w:r w:rsidRPr="00A808F9">
        <w:t xml:space="preserve">In merito all’andamento dell’edilizia, il biennio 2015-2016 ha probabilmente segnato un nuovo ciclo edilizio, ma lo scenario rimane caratterizzato da una significativa incertezza. Il timore è che la frenata potrebbe impattare sulle imprese ritenute meno solide, soprattutto se si verificasse quello che </w:t>
      </w:r>
      <w:proofErr w:type="spellStart"/>
      <w:r w:rsidRPr="00A808F9">
        <w:t>Cerved</w:t>
      </w:r>
      <w:proofErr w:type="spellEnd"/>
      <w:r w:rsidRPr="00A808F9">
        <w:t xml:space="preserve"> chiama lo scenario “</w:t>
      </w:r>
      <w:proofErr w:type="spellStart"/>
      <w:r w:rsidRPr="00A808F9">
        <w:t>worst</w:t>
      </w:r>
      <w:proofErr w:type="spellEnd"/>
      <w:r w:rsidRPr="00A808F9">
        <w:t xml:space="preserve">” </w:t>
      </w:r>
      <w:r w:rsidR="00745209" w:rsidRPr="00A808F9">
        <w:t>in cui: la vaccinazione di massa procede a ritmi più lenti del previsto, rimangono limitazioni ai movimenti ed ai flussi turistici, permane una crescita modesta della domanda mondiale</w:t>
      </w:r>
      <w:r w:rsidR="00B15E73" w:rsidRPr="00A808F9">
        <w:t xml:space="preserve">; </w:t>
      </w:r>
      <w:r w:rsidR="005127B9" w:rsidRPr="00A808F9">
        <w:t xml:space="preserve">ci sia </w:t>
      </w:r>
      <w:r w:rsidR="00B15E73" w:rsidRPr="00A808F9">
        <w:t xml:space="preserve">una ripresa degli investimenti e della crescita solo nella seconda parte dell’anno. </w:t>
      </w:r>
    </w:p>
    <w:p w:rsidR="00B15E73" w:rsidRPr="00A808F9" w:rsidRDefault="00B15E73" w:rsidP="00BB1A2C">
      <w:pPr>
        <w:jc w:val="both"/>
      </w:pPr>
      <w:r w:rsidRPr="00A808F9">
        <w:t xml:space="preserve">Anche il comparto </w:t>
      </w:r>
      <w:proofErr w:type="spellStart"/>
      <w:r w:rsidRPr="00A808F9">
        <w:t>automative</w:t>
      </w:r>
      <w:proofErr w:type="spellEnd"/>
      <w:r w:rsidR="00C95CE2" w:rsidRPr="00A808F9">
        <w:t xml:space="preserve"> risulta essere </w:t>
      </w:r>
      <w:r w:rsidRPr="00A808F9">
        <w:t xml:space="preserve">tra i più colpiti: la paralisi delle vendite e le difficoltà nella complessa alimentazione </w:t>
      </w:r>
      <w:r w:rsidR="00A808F9">
        <w:t>della</w:t>
      </w:r>
      <w:r w:rsidRPr="00A808F9">
        <w:t xml:space="preserve"> internazionalizzata catena di fornitura si riflettono in una forte riduzione produttiva.</w:t>
      </w:r>
      <w:r w:rsidR="00601F26" w:rsidRPr="00A808F9">
        <w:t xml:space="preserve"> Fortissima l’incidenza degli scambi con l’estero dove hanno un ruolo fondamentale il prezzo e l’innovazione di prodotto.</w:t>
      </w:r>
    </w:p>
    <w:p w:rsidR="00C20DF6" w:rsidRPr="00A808F9" w:rsidRDefault="00B15E73" w:rsidP="00BB1A2C">
      <w:pPr>
        <w:jc w:val="both"/>
      </w:pPr>
      <w:r w:rsidRPr="00A808F9">
        <w:t>Secondo una stima</w:t>
      </w:r>
      <w:r w:rsidR="005127B9" w:rsidRPr="00A808F9">
        <w:t xml:space="preserve"> della percentuale di </w:t>
      </w:r>
      <w:r w:rsidR="00C20DF6" w:rsidRPr="00A808F9">
        <w:t>rischio</w:t>
      </w:r>
      <w:r w:rsidR="00453D4C" w:rsidRPr="00A808F9">
        <w:t xml:space="preserve">, </w:t>
      </w:r>
      <w:r w:rsidR="00A808F9">
        <w:t>in cui</w:t>
      </w:r>
      <w:r w:rsidR="00453D4C" w:rsidRPr="00A808F9">
        <w:t xml:space="preserve"> il rischio settoriale esprime una misura sintetica dell’affidabilità creditizia,</w:t>
      </w:r>
      <w:r w:rsidR="00C20DF6" w:rsidRPr="00A808F9">
        <w:t xml:space="preserve"> </w:t>
      </w:r>
      <w:r w:rsidR="00453D4C" w:rsidRPr="00A808F9">
        <w:t xml:space="preserve">ci sarebbe un </w:t>
      </w:r>
      <w:r w:rsidR="00C20DF6" w:rsidRPr="00A808F9">
        <w:t>alto</w:t>
      </w:r>
      <w:r w:rsidR="00C95CE2" w:rsidRPr="00A808F9">
        <w:t xml:space="preserve"> livello di pericolosità per l’affidabilità nel credito </w:t>
      </w:r>
      <w:r w:rsidR="00C20DF6" w:rsidRPr="00A808F9">
        <w:t>che coinvolg</w:t>
      </w:r>
      <w:r w:rsidR="00C95CE2" w:rsidRPr="00A808F9">
        <w:t>erebbe ben 10.457 aziende ed oltre</w:t>
      </w:r>
      <w:r w:rsidR="00C20DF6" w:rsidRPr="00A808F9">
        <w:t xml:space="preserve"> 33.000 posti di lavoro nei settori della ristorazione, automobili, dettaglio specializzato abbigliamento, calzature e pelletteria, informazione comunicazione ed intrattenimento</w:t>
      </w:r>
      <w:r w:rsidR="00B04F35" w:rsidRPr="00A808F9">
        <w:t xml:space="preserve"> (con una percentuale di incidenza dal 13,9% al 18,1%)</w:t>
      </w:r>
      <w:r w:rsidR="00C20DF6" w:rsidRPr="00A808F9">
        <w:t xml:space="preserve">. </w:t>
      </w:r>
    </w:p>
    <w:p w:rsidR="00B04F35" w:rsidRPr="00A808F9" w:rsidRDefault="00B04F35" w:rsidP="00BB1A2C">
      <w:pPr>
        <w:jc w:val="both"/>
        <w:rPr>
          <w:rFonts w:cs="Open Sans"/>
          <w:color w:val="464646"/>
        </w:rPr>
      </w:pPr>
      <w:r w:rsidRPr="00A808F9">
        <w:rPr>
          <w:rFonts w:cs="Open Sans"/>
          <w:color w:val="464646"/>
        </w:rPr>
        <w:lastRenderedPageBreak/>
        <w:t xml:space="preserve">Secondo </w:t>
      </w:r>
      <w:r w:rsidR="00A808F9">
        <w:rPr>
          <w:rFonts w:cs="Open Sans"/>
          <w:color w:val="464646"/>
        </w:rPr>
        <w:t>una pr</w:t>
      </w:r>
      <w:r w:rsidRPr="00A808F9">
        <w:rPr>
          <w:rFonts w:cs="Open Sans"/>
          <w:color w:val="464646"/>
        </w:rPr>
        <w:t>oiezione (nazionale) si</w:t>
      </w:r>
      <w:r w:rsidR="00C20DF6" w:rsidRPr="00A808F9">
        <w:rPr>
          <w:rFonts w:cs="Open Sans"/>
          <w:color w:val="464646"/>
        </w:rPr>
        <w:t xml:space="preserve"> osserva che a guidare la ripresa potrebbero essere i settori verso i quali saranno diretti gli incentivi previsti da</w:t>
      </w:r>
      <w:r w:rsidRPr="00A808F9">
        <w:rPr>
          <w:rFonts w:cs="Open Sans"/>
          <w:color w:val="464646"/>
        </w:rPr>
        <w:t xml:space="preserve">l </w:t>
      </w:r>
      <w:proofErr w:type="spellStart"/>
      <w:r w:rsidR="00C20DF6" w:rsidRPr="00A808F9">
        <w:rPr>
          <w:rFonts w:cs="Open Sans"/>
          <w:color w:val="464646"/>
        </w:rPr>
        <w:t>N</w:t>
      </w:r>
      <w:r w:rsidRPr="00A808F9">
        <w:rPr>
          <w:rFonts w:cs="Open Sans"/>
          <w:color w:val="464646"/>
        </w:rPr>
        <w:t>ext</w:t>
      </w:r>
      <w:proofErr w:type="spellEnd"/>
      <w:r w:rsidRPr="00A808F9">
        <w:rPr>
          <w:rFonts w:cs="Open Sans"/>
          <w:color w:val="464646"/>
        </w:rPr>
        <w:t xml:space="preserve"> </w:t>
      </w:r>
      <w:r w:rsidR="00C20DF6" w:rsidRPr="00A808F9">
        <w:rPr>
          <w:rFonts w:cs="Open Sans"/>
          <w:color w:val="464646"/>
        </w:rPr>
        <w:t>G</w:t>
      </w:r>
      <w:r w:rsidRPr="00A808F9">
        <w:rPr>
          <w:rFonts w:cs="Open Sans"/>
          <w:color w:val="464646"/>
        </w:rPr>
        <w:t xml:space="preserve">eneration </w:t>
      </w:r>
      <w:r w:rsidR="00C20DF6" w:rsidRPr="00A808F9">
        <w:rPr>
          <w:rFonts w:cs="Open Sans"/>
          <w:color w:val="464646"/>
        </w:rPr>
        <w:t>EU in materia di trasformazione digitale e transizione ecologica. Tra questi figurano gli </w:t>
      </w:r>
      <w:r w:rsidR="00C20DF6" w:rsidRPr="00A808F9">
        <w:rPr>
          <w:rStyle w:val="Enfasigrassetto"/>
          <w:rFonts w:ascii="Century Gothic" w:hAnsi="Century Gothic" w:cs="Open Sans"/>
          <w:color w:val="464646"/>
        </w:rPr>
        <w:t>impianti fotovoltaici e delle altre energie rinnovabili </w:t>
      </w:r>
      <w:r w:rsidR="00C20DF6" w:rsidRPr="00A808F9">
        <w:rPr>
          <w:rFonts w:cs="Open Sans"/>
          <w:color w:val="464646"/>
        </w:rPr>
        <w:t xml:space="preserve">(+59,4% vs 2019 nello scenario base e +41,8% vs 2019 nello scenario </w:t>
      </w:r>
      <w:proofErr w:type="spellStart"/>
      <w:r w:rsidR="00C20DF6" w:rsidRPr="00A808F9">
        <w:rPr>
          <w:rFonts w:cs="Open Sans"/>
          <w:color w:val="464646"/>
        </w:rPr>
        <w:t>worst</w:t>
      </w:r>
      <w:proofErr w:type="spellEnd"/>
      <w:r w:rsidR="00C20DF6" w:rsidRPr="00A808F9">
        <w:rPr>
          <w:rFonts w:cs="Open Sans"/>
          <w:color w:val="464646"/>
        </w:rPr>
        <w:t>), le </w:t>
      </w:r>
      <w:r w:rsidR="00C20DF6" w:rsidRPr="00A808F9">
        <w:rPr>
          <w:rStyle w:val="Enfasigrassetto"/>
          <w:rFonts w:ascii="Century Gothic" w:hAnsi="Century Gothic" w:cs="Open Sans"/>
          <w:color w:val="464646"/>
        </w:rPr>
        <w:t>tecnologie per le telecomunicazioni</w:t>
      </w:r>
      <w:r w:rsidR="00C20DF6" w:rsidRPr="00A808F9">
        <w:rPr>
          <w:rFonts w:cs="Open Sans"/>
          <w:color w:val="464646"/>
        </w:rPr>
        <w:t> (+36,5% e +21,7%), i </w:t>
      </w:r>
      <w:r w:rsidR="00C20DF6" w:rsidRPr="00A808F9">
        <w:rPr>
          <w:rStyle w:val="Enfasigrassetto"/>
          <w:rFonts w:ascii="Century Gothic" w:hAnsi="Century Gothic" w:cs="Open Sans"/>
          <w:color w:val="464646"/>
        </w:rPr>
        <w:t>piccoli elettrodomestici</w:t>
      </w:r>
      <w:r w:rsidR="00C20DF6" w:rsidRPr="00A808F9">
        <w:rPr>
          <w:rFonts w:cs="Open Sans"/>
          <w:color w:val="464646"/>
        </w:rPr>
        <w:t> (+21,0% e +15,7%), </w:t>
      </w:r>
      <w:r w:rsidR="00C20DF6" w:rsidRPr="00A808F9">
        <w:rPr>
          <w:rStyle w:val="Enfasigrassetto"/>
          <w:rFonts w:ascii="Century Gothic" w:hAnsi="Century Gothic" w:cs="Open Sans"/>
          <w:color w:val="464646"/>
        </w:rPr>
        <w:t>i servizi informatici e software</w:t>
      </w:r>
      <w:r w:rsidR="00C20DF6" w:rsidRPr="00A808F9">
        <w:rPr>
          <w:rFonts w:cs="Open Sans"/>
          <w:color w:val="464646"/>
        </w:rPr>
        <w:t> (+16,7% e +9,6%). In continuità con i trend positivi evidenziati nel 2020 in risposta allo shock, si prevede una significativa crescita dei fatturati anche per il </w:t>
      </w:r>
      <w:r w:rsidR="00C20DF6" w:rsidRPr="00A808F9">
        <w:rPr>
          <w:rStyle w:val="Enfasigrassetto"/>
          <w:rFonts w:ascii="Century Gothic" w:hAnsi="Century Gothic" w:cs="Open Sans"/>
          <w:color w:val="464646"/>
        </w:rPr>
        <w:t>commercio online</w:t>
      </w:r>
      <w:r w:rsidR="00C20DF6" w:rsidRPr="00A808F9">
        <w:rPr>
          <w:rFonts w:cs="Open Sans"/>
          <w:color w:val="464646"/>
        </w:rPr>
        <w:t> (+13,2% e 19,3%) e le </w:t>
      </w:r>
      <w:r w:rsidR="00C20DF6" w:rsidRPr="00A808F9">
        <w:rPr>
          <w:rStyle w:val="Enfasigrassetto"/>
          <w:rFonts w:ascii="Century Gothic" w:hAnsi="Century Gothic" w:cs="Open Sans"/>
          <w:color w:val="464646"/>
        </w:rPr>
        <w:t>specialità farmaceutiche</w:t>
      </w:r>
      <w:r w:rsidR="00C20DF6" w:rsidRPr="00A808F9">
        <w:rPr>
          <w:rFonts w:cs="Open Sans"/>
          <w:color w:val="464646"/>
        </w:rPr>
        <w:t> (+16,1% e +12,3%).</w:t>
      </w:r>
    </w:p>
    <w:p w:rsidR="00C20DF6" w:rsidRPr="00A808F9" w:rsidRDefault="00C20DF6" w:rsidP="00BB1A2C">
      <w:pPr>
        <w:jc w:val="both"/>
        <w:rPr>
          <w:rFonts w:cs="Open Sans"/>
          <w:color w:val="464646"/>
        </w:rPr>
      </w:pPr>
      <w:r w:rsidRPr="00A808F9">
        <w:rPr>
          <w:rFonts w:cs="Open Sans"/>
          <w:color w:val="464646"/>
        </w:rPr>
        <w:t>Viceversa, tra i settori che nel 2022 potreb</w:t>
      </w:r>
      <w:r w:rsidR="00B04F35" w:rsidRPr="00A808F9">
        <w:rPr>
          <w:rFonts w:cs="Open Sans"/>
          <w:color w:val="464646"/>
        </w:rPr>
        <w:t>bero risultare più colpiti rispe</w:t>
      </w:r>
      <w:r w:rsidRPr="00A808F9">
        <w:rPr>
          <w:rFonts w:cs="Open Sans"/>
          <w:color w:val="464646"/>
        </w:rPr>
        <w:t xml:space="preserve">tto al </w:t>
      </w:r>
      <w:proofErr w:type="spellStart"/>
      <w:r w:rsidRPr="00A808F9">
        <w:rPr>
          <w:rFonts w:cs="Open Sans"/>
          <w:color w:val="464646"/>
        </w:rPr>
        <w:t>pre-covid</w:t>
      </w:r>
      <w:proofErr w:type="spellEnd"/>
      <w:r w:rsidRPr="00A808F9">
        <w:rPr>
          <w:rFonts w:cs="Open Sans"/>
          <w:color w:val="464646"/>
        </w:rPr>
        <w:t xml:space="preserve"> figurano le attività maggiormente danneggiate dal </w:t>
      </w:r>
      <w:proofErr w:type="spellStart"/>
      <w:r w:rsidRPr="00A808F9">
        <w:rPr>
          <w:rFonts w:cs="Open Sans"/>
          <w:color w:val="464646"/>
        </w:rPr>
        <w:t>lockdown</w:t>
      </w:r>
      <w:proofErr w:type="spellEnd"/>
      <w:r w:rsidRPr="00A808F9">
        <w:rPr>
          <w:rFonts w:cs="Open Sans"/>
          <w:color w:val="464646"/>
        </w:rPr>
        <w:t xml:space="preserve"> e dalle misure di contenimento della pandemia che continuerebbero ad essere le più esposte al prolungamento della situazione emergenziale e a un lento ritorno alla normalità. Il settore con le perdite maggiori di fatturato al termine del biennio risulterebbe</w:t>
      </w:r>
      <w:r w:rsidR="00B04F35" w:rsidRPr="00A808F9">
        <w:rPr>
          <w:rFonts w:cs="Open Sans"/>
          <w:color w:val="464646"/>
        </w:rPr>
        <w:t>, quindi,</w:t>
      </w:r>
      <w:r w:rsidRPr="00A808F9">
        <w:rPr>
          <w:rFonts w:cs="Open Sans"/>
          <w:color w:val="464646"/>
        </w:rPr>
        <w:t xml:space="preserve"> l’</w:t>
      </w:r>
      <w:r w:rsidRPr="00A808F9">
        <w:rPr>
          <w:rStyle w:val="Enfasigrassetto"/>
          <w:rFonts w:ascii="Century Gothic" w:hAnsi="Century Gothic" w:cs="Open Sans"/>
          <w:color w:val="464646"/>
        </w:rPr>
        <w:t>organizzazione di fiere e convegni </w:t>
      </w:r>
      <w:r w:rsidRPr="00A808F9">
        <w:rPr>
          <w:rFonts w:cs="Open Sans"/>
          <w:color w:val="464646"/>
        </w:rPr>
        <w:t xml:space="preserve">(-50,0% nello scenario base e -57,2% nello scenario </w:t>
      </w:r>
      <w:proofErr w:type="spellStart"/>
      <w:r w:rsidRPr="00A808F9">
        <w:rPr>
          <w:rFonts w:cs="Open Sans"/>
          <w:color w:val="464646"/>
        </w:rPr>
        <w:t>worst</w:t>
      </w:r>
      <w:proofErr w:type="spellEnd"/>
      <w:r w:rsidRPr="00A808F9">
        <w:rPr>
          <w:rFonts w:cs="Open Sans"/>
          <w:color w:val="464646"/>
        </w:rPr>
        <w:t>), seguito dalla </w:t>
      </w:r>
      <w:r w:rsidRPr="00A808F9">
        <w:rPr>
          <w:rStyle w:val="Enfasigrassetto"/>
          <w:rFonts w:ascii="Century Gothic" w:hAnsi="Century Gothic" w:cs="Open Sans"/>
          <w:color w:val="464646"/>
        </w:rPr>
        <w:t>gestione degli aeroporti</w:t>
      </w:r>
      <w:r w:rsidRPr="00A808F9">
        <w:rPr>
          <w:rFonts w:cs="Open Sans"/>
          <w:color w:val="464646"/>
        </w:rPr>
        <w:t> (-28,0% e -36,5%) e dai </w:t>
      </w:r>
      <w:r w:rsidRPr="00A808F9">
        <w:rPr>
          <w:rStyle w:val="Enfasigrassetto"/>
          <w:rFonts w:ascii="Century Gothic" w:hAnsi="Century Gothic" w:cs="Open Sans"/>
          <w:color w:val="464646"/>
        </w:rPr>
        <w:t>trasporti aerei</w:t>
      </w:r>
      <w:r w:rsidRPr="00A808F9">
        <w:rPr>
          <w:rFonts w:cs="Open Sans"/>
          <w:color w:val="464646"/>
        </w:rPr>
        <w:t> (-27,3% e -36,6%). Si registrano impatti molto negativi anche per le </w:t>
      </w:r>
      <w:r w:rsidRPr="00A808F9">
        <w:rPr>
          <w:rStyle w:val="Enfasigrassetto"/>
          <w:rFonts w:ascii="Century Gothic" w:hAnsi="Century Gothic" w:cs="Open Sans"/>
          <w:color w:val="464646"/>
        </w:rPr>
        <w:t>agenzie di viaggio</w:t>
      </w:r>
      <w:r w:rsidRPr="00A808F9">
        <w:rPr>
          <w:rFonts w:cs="Open Sans"/>
          <w:color w:val="464646"/>
        </w:rPr>
        <w:t> (-21,3% e -32,6%), le </w:t>
      </w:r>
      <w:r w:rsidRPr="00A808F9">
        <w:rPr>
          <w:rStyle w:val="Enfasigrassetto"/>
          <w:rFonts w:ascii="Century Gothic" w:hAnsi="Century Gothic" w:cs="Open Sans"/>
          <w:color w:val="464646"/>
        </w:rPr>
        <w:t>strutture ricettive extra-alberghiere</w:t>
      </w:r>
      <w:r w:rsidRPr="00A808F9">
        <w:rPr>
          <w:rFonts w:cs="Open Sans"/>
          <w:color w:val="464646"/>
        </w:rPr>
        <w:t> (-17,7% e -38,9%), l’</w:t>
      </w:r>
      <w:r w:rsidRPr="00A808F9">
        <w:rPr>
          <w:rStyle w:val="Enfasigrassetto"/>
          <w:rFonts w:ascii="Century Gothic" w:hAnsi="Century Gothic" w:cs="Open Sans"/>
          <w:color w:val="464646"/>
        </w:rPr>
        <w:t>industria cinematografica </w:t>
      </w:r>
      <w:r w:rsidRPr="00A808F9">
        <w:rPr>
          <w:rFonts w:cs="Open Sans"/>
          <w:color w:val="464646"/>
        </w:rPr>
        <w:t>(-19,7% e -25,7%) e la </w:t>
      </w:r>
      <w:r w:rsidRPr="00A808F9">
        <w:rPr>
          <w:rStyle w:val="Enfasigrassetto"/>
          <w:rFonts w:ascii="Century Gothic" w:hAnsi="Century Gothic" w:cs="Open Sans"/>
          <w:color w:val="464646"/>
        </w:rPr>
        <w:t>ristorazione</w:t>
      </w:r>
      <w:r w:rsidRPr="00A808F9">
        <w:rPr>
          <w:rFonts w:cs="Open Sans"/>
          <w:color w:val="464646"/>
        </w:rPr>
        <w:t> (-16,1% e -25,4%).</w:t>
      </w:r>
    </w:p>
    <w:p w:rsidR="00601F26" w:rsidRDefault="00601F26" w:rsidP="00BB1A2C">
      <w:pPr>
        <w:jc w:val="both"/>
        <w:rPr>
          <w:rFonts w:eastAsia="Times New Roman"/>
          <w:bCs/>
          <w:color w:val="464646"/>
          <w:lang w:eastAsia="it-IT"/>
        </w:rPr>
      </w:pPr>
      <w:r w:rsidRPr="00A808F9">
        <w:rPr>
          <w:color w:val="464646"/>
        </w:rPr>
        <w:t>In conclusione il Segretario Generale</w:t>
      </w:r>
      <w:r w:rsidR="00A808F9">
        <w:rPr>
          <w:color w:val="464646"/>
        </w:rPr>
        <w:t xml:space="preserve"> della Camera di Commercio Chieti Pescara Dott.</w:t>
      </w:r>
      <w:r w:rsidRPr="00A808F9">
        <w:rPr>
          <w:color w:val="464646"/>
        </w:rPr>
        <w:t xml:space="preserve"> Michele De Vita “</w:t>
      </w:r>
      <w:r w:rsidRPr="00A808F9">
        <w:t xml:space="preserve">Dall’indagine </w:t>
      </w:r>
      <w:proofErr w:type="spellStart"/>
      <w:r w:rsidRPr="00A808F9">
        <w:t>Cerved</w:t>
      </w:r>
      <w:proofErr w:type="spellEnd"/>
      <w:r w:rsidRPr="00A808F9">
        <w:t xml:space="preserve"> emerge che, anche quest’anno, i fatturati delle imprese rimarranno ancora sotto i livelli </w:t>
      </w:r>
      <w:proofErr w:type="spellStart"/>
      <w:r w:rsidRPr="00A808F9">
        <w:t>pre-Covid</w:t>
      </w:r>
      <w:proofErr w:type="spellEnd"/>
      <w:r w:rsidR="00A808F9">
        <w:t>, pur</w:t>
      </w:r>
      <w:r w:rsidRPr="00A808F9">
        <w:t xml:space="preserve"> con forti differenziazioni tra i settori. </w:t>
      </w:r>
      <w:r w:rsidRPr="00A808F9">
        <w:rPr>
          <w:rFonts w:eastAsia="Times New Roman"/>
          <w:bCs/>
          <w:color w:val="464646"/>
          <w:lang w:eastAsia="it-IT"/>
        </w:rPr>
        <w:t xml:space="preserve">Le agevolazioni di </w:t>
      </w:r>
      <w:proofErr w:type="spellStart"/>
      <w:r w:rsidRPr="00A808F9">
        <w:rPr>
          <w:rFonts w:eastAsia="Times New Roman"/>
          <w:bCs/>
          <w:color w:val="464646"/>
          <w:lang w:eastAsia="it-IT"/>
        </w:rPr>
        <w:t>Next</w:t>
      </w:r>
      <w:proofErr w:type="spellEnd"/>
      <w:r w:rsidRPr="00A808F9">
        <w:rPr>
          <w:rFonts w:eastAsia="Times New Roman"/>
          <w:bCs/>
          <w:color w:val="464646"/>
          <w:lang w:eastAsia="it-IT"/>
        </w:rPr>
        <w:t xml:space="preserve"> Generation EU su trasformazione digitale e transizione energetica potrebbero risollevare i settori ad alta propensione hi-tech e la filiera delle costruzioni</w:t>
      </w:r>
      <w:r w:rsidR="00A808F9" w:rsidRPr="00A808F9">
        <w:rPr>
          <w:rFonts w:eastAsia="Times New Roman"/>
          <w:bCs/>
          <w:color w:val="464646"/>
          <w:lang w:eastAsia="it-IT"/>
        </w:rPr>
        <w:t xml:space="preserve"> mentre eventuali ulteriori r</w:t>
      </w:r>
      <w:r w:rsidRPr="00A808F9">
        <w:rPr>
          <w:rFonts w:eastAsia="Times New Roman"/>
          <w:bCs/>
          <w:color w:val="464646"/>
          <w:lang w:eastAsia="it-IT"/>
        </w:rPr>
        <w:t>allentamenti nella</w:t>
      </w:r>
      <w:r w:rsidR="00A808F9" w:rsidRPr="00A808F9">
        <w:rPr>
          <w:rFonts w:eastAsia="Times New Roman"/>
          <w:bCs/>
          <w:color w:val="464646"/>
          <w:lang w:eastAsia="it-IT"/>
        </w:rPr>
        <w:t xml:space="preserve"> campagna vaccinale potrebbero </w:t>
      </w:r>
      <w:r w:rsidRPr="00A808F9">
        <w:rPr>
          <w:rFonts w:eastAsia="Times New Roman"/>
          <w:bCs/>
          <w:color w:val="464646"/>
          <w:lang w:eastAsia="it-IT"/>
        </w:rPr>
        <w:t>impattare sulle prospettive di ristorazione, turismo e trasporti</w:t>
      </w:r>
      <w:r w:rsidR="00A808F9" w:rsidRPr="00A808F9">
        <w:rPr>
          <w:rFonts w:eastAsia="Times New Roman"/>
          <w:bCs/>
          <w:color w:val="464646"/>
          <w:lang w:eastAsia="it-IT"/>
        </w:rPr>
        <w:t>.</w:t>
      </w:r>
      <w:r w:rsidR="00A808F9">
        <w:rPr>
          <w:rFonts w:eastAsia="Times New Roman"/>
          <w:bCs/>
          <w:color w:val="464646"/>
          <w:lang w:eastAsia="it-IT"/>
        </w:rPr>
        <w:t>”</w:t>
      </w:r>
    </w:p>
    <w:p w:rsidR="003B330F" w:rsidRDefault="003B330F" w:rsidP="00BB1A2C">
      <w:pPr>
        <w:jc w:val="both"/>
        <w:rPr>
          <w:rFonts w:eastAsia="Times New Roman"/>
          <w:bCs/>
          <w:color w:val="464646"/>
          <w:lang w:eastAsia="it-IT"/>
        </w:rPr>
      </w:pPr>
    </w:p>
    <w:p w:rsidR="003B330F" w:rsidRPr="00A808F9" w:rsidRDefault="003B330F" w:rsidP="00BB1A2C">
      <w:pPr>
        <w:jc w:val="both"/>
      </w:pPr>
      <w:r>
        <w:rPr>
          <w:rFonts w:eastAsia="Times New Roman"/>
          <w:bCs/>
          <w:color w:val="464646"/>
          <w:lang w:eastAsia="it-IT"/>
        </w:rPr>
        <w:t>Info: Maura Di Marco, 3291329297</w:t>
      </w:r>
    </w:p>
    <w:bookmarkEnd w:id="0"/>
    <w:p w:rsidR="00601F26" w:rsidRPr="00A808F9" w:rsidRDefault="00601F26" w:rsidP="00BB1A2C">
      <w:pPr>
        <w:jc w:val="both"/>
        <w:rPr>
          <w:rFonts w:cs="Open Sans"/>
          <w:color w:val="464646"/>
        </w:rPr>
      </w:pPr>
    </w:p>
    <w:p w:rsidR="00C20DF6" w:rsidRPr="00A808F9" w:rsidRDefault="00C20DF6" w:rsidP="005C3A46">
      <w:pPr>
        <w:spacing w:line="240" w:lineRule="auto"/>
        <w:jc w:val="both"/>
        <w:rPr>
          <w:rFonts w:ascii="Century Gothic" w:hAnsi="Century Gothic"/>
        </w:rPr>
      </w:pPr>
    </w:p>
    <w:sectPr w:rsidR="00C20DF6" w:rsidRPr="00A808F9" w:rsidSect="004B6F07">
      <w:headerReference w:type="default" r:id="rId6"/>
      <w:footerReference w:type="default" r:id="rId7"/>
      <w:pgSz w:w="11906" w:h="16838"/>
      <w:pgMar w:top="2410" w:right="1134" w:bottom="1985" w:left="1134" w:header="708" w:footer="6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D6" w:rsidRDefault="00555BD6" w:rsidP="00952A19">
      <w:pPr>
        <w:spacing w:after="0" w:line="240" w:lineRule="auto"/>
      </w:pPr>
      <w:r>
        <w:separator/>
      </w:r>
    </w:p>
  </w:endnote>
  <w:endnote w:type="continuationSeparator" w:id="0">
    <w:p w:rsidR="00555BD6" w:rsidRDefault="00555BD6" w:rsidP="0095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3C245B" w:rsidRDefault="009F0113" w:rsidP="003C245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-434340</wp:posOffset>
          </wp:positionH>
          <wp:positionV relativeFrom="paragraph">
            <wp:posOffset>-655320</wp:posOffset>
          </wp:positionV>
          <wp:extent cx="8369426" cy="798195"/>
          <wp:effectExtent l="0" t="0" r="0" b="190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-corret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426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F07" w:rsidRPr="003C245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D6" w:rsidRDefault="00555BD6" w:rsidP="00952A19">
      <w:pPr>
        <w:spacing w:after="0" w:line="240" w:lineRule="auto"/>
      </w:pPr>
      <w:r>
        <w:separator/>
      </w:r>
    </w:p>
  </w:footnote>
  <w:footnote w:type="continuationSeparator" w:id="0">
    <w:p w:rsidR="00555BD6" w:rsidRDefault="00555BD6" w:rsidP="0095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9E76FF" w:rsidRDefault="008203F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25F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19"/>
    <w:rsid w:val="000933EA"/>
    <w:rsid w:val="000A0F51"/>
    <w:rsid w:val="00141783"/>
    <w:rsid w:val="002B7C92"/>
    <w:rsid w:val="00367E55"/>
    <w:rsid w:val="003B330F"/>
    <w:rsid w:val="003C245B"/>
    <w:rsid w:val="00453D4C"/>
    <w:rsid w:val="004B6F07"/>
    <w:rsid w:val="005127B9"/>
    <w:rsid w:val="00520E34"/>
    <w:rsid w:val="0053174E"/>
    <w:rsid w:val="00555BD6"/>
    <w:rsid w:val="005C3A46"/>
    <w:rsid w:val="00601F26"/>
    <w:rsid w:val="00745209"/>
    <w:rsid w:val="008203F8"/>
    <w:rsid w:val="008502D2"/>
    <w:rsid w:val="00952A19"/>
    <w:rsid w:val="009E76FF"/>
    <w:rsid w:val="009F0113"/>
    <w:rsid w:val="00A808F9"/>
    <w:rsid w:val="00AC43FD"/>
    <w:rsid w:val="00B04F35"/>
    <w:rsid w:val="00B15E73"/>
    <w:rsid w:val="00BB1A2C"/>
    <w:rsid w:val="00C20DF6"/>
    <w:rsid w:val="00C831FA"/>
    <w:rsid w:val="00C95CE2"/>
    <w:rsid w:val="00D40698"/>
    <w:rsid w:val="00D540EF"/>
    <w:rsid w:val="00E34C8B"/>
    <w:rsid w:val="00E83611"/>
    <w:rsid w:val="00EA0CBE"/>
    <w:rsid w:val="00F00BF6"/>
    <w:rsid w:val="00F5225F"/>
    <w:rsid w:val="00F5619D"/>
    <w:rsid w:val="00F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3C979"/>
  <w15:chartTrackingRefBased/>
  <w15:docId w15:val="{864C9C40-221C-4E10-B226-AC95F45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01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2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20DF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1F2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ags">
    <w:name w:val="tags"/>
    <w:basedOn w:val="Carpredefinitoparagrafo"/>
    <w:rsid w:val="00601F26"/>
  </w:style>
  <w:style w:type="paragraph" w:customStyle="1" w:styleId="intro">
    <w:name w:val="intro"/>
    <w:basedOn w:val="Normale"/>
    <w:rsid w:val="0060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Maura Di Marco</cp:lastModifiedBy>
  <cp:revision>6</cp:revision>
  <cp:lastPrinted>2020-05-30T13:39:00Z</cp:lastPrinted>
  <dcterms:created xsi:type="dcterms:W3CDTF">2021-03-25T09:12:00Z</dcterms:created>
  <dcterms:modified xsi:type="dcterms:W3CDTF">2021-03-25T14:49:00Z</dcterms:modified>
</cp:coreProperties>
</file>